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02" w:rsidRPr="00C57690" w:rsidRDefault="00666B02" w:rsidP="00666B02">
      <w:pPr>
        <w:pStyle w:val="Heading1"/>
        <w:spacing w:before="0" w:after="0"/>
        <w:rPr>
          <w:rFonts w:ascii="Century Gothic" w:hAnsi="Century Gothic" w:cs="Angsana New"/>
          <w:b/>
          <w:smallCaps w:val="0"/>
          <w:color w:val="auto"/>
          <w:sz w:val="20"/>
          <w:szCs w:val="20"/>
          <w:lang w:val="en-GB"/>
        </w:rPr>
      </w:pPr>
      <w:bookmarkStart w:id="0" w:name="_Toc358815619"/>
      <w:bookmarkStart w:id="1" w:name="_GoBack"/>
      <w:bookmarkEnd w:id="1"/>
      <w:r w:rsidRPr="00C57690">
        <w:rPr>
          <w:rFonts w:ascii="Century Gothic" w:hAnsi="Century Gothic" w:cs="Angsana New"/>
          <w:b/>
          <w:smallCaps w:val="0"/>
          <w:color w:val="auto"/>
          <w:sz w:val="20"/>
          <w:szCs w:val="20"/>
          <w:lang w:val="en-GB"/>
        </w:rPr>
        <w:t xml:space="preserve">Linkage Table: UITP Sustainability Reporting Framework and </w:t>
      </w:r>
      <w:bookmarkEnd w:id="0"/>
      <w:r w:rsidR="00C57690">
        <w:rPr>
          <w:rFonts w:ascii="Century Gothic" w:hAnsi="Century Gothic" w:cs="Angsana New"/>
          <w:b/>
          <w:smallCaps w:val="0"/>
          <w:color w:val="auto"/>
          <w:sz w:val="20"/>
          <w:szCs w:val="20"/>
          <w:lang w:val="en-GB"/>
        </w:rPr>
        <w:t>the Global Reporting Initiative (</w:t>
      </w:r>
      <w:r w:rsidRPr="00C57690">
        <w:rPr>
          <w:rFonts w:ascii="Century Gothic" w:hAnsi="Century Gothic" w:cs="Angsana New"/>
          <w:b/>
          <w:smallCaps w:val="0"/>
          <w:color w:val="auto"/>
          <w:sz w:val="20"/>
          <w:szCs w:val="20"/>
          <w:lang w:val="en-GB"/>
        </w:rPr>
        <w:t>GRI</w:t>
      </w:r>
      <w:r w:rsidR="00C57690">
        <w:rPr>
          <w:rFonts w:ascii="Century Gothic" w:hAnsi="Century Gothic" w:cs="Angsana New"/>
          <w:b/>
          <w:smallCaps w:val="0"/>
          <w:color w:val="auto"/>
          <w:sz w:val="20"/>
          <w:szCs w:val="20"/>
          <w:lang w:val="en-GB"/>
        </w:rPr>
        <w:t>)</w:t>
      </w:r>
      <w:r w:rsidRPr="00C57690">
        <w:rPr>
          <w:rFonts w:ascii="Century Gothic" w:hAnsi="Century Gothic" w:cs="Angsana New"/>
          <w:b/>
          <w:smallCaps w:val="0"/>
          <w:color w:val="auto"/>
          <w:sz w:val="20"/>
          <w:szCs w:val="20"/>
          <w:lang w:val="en-GB"/>
        </w:rPr>
        <w:t xml:space="preserve"> G4</w:t>
      </w:r>
    </w:p>
    <w:p w:rsidR="00666B02" w:rsidRPr="00B656D5" w:rsidRDefault="00666B02" w:rsidP="00666B02">
      <w:pPr>
        <w:spacing w:after="0"/>
        <w:rPr>
          <w:rFonts w:ascii="Century Gothic" w:hAnsi="Century Gothic" w:cs="Angsana New"/>
          <w:sz w:val="20"/>
          <w:szCs w:val="20"/>
          <w:lang w:val="en-GB"/>
        </w:rPr>
      </w:pPr>
      <w:r w:rsidRPr="00B656D5">
        <w:rPr>
          <w:rFonts w:ascii="Century Gothic" w:hAnsi="Century Gothic" w:cs="Angsana New"/>
          <w:sz w:val="20"/>
          <w:szCs w:val="20"/>
          <w:lang w:val="en-GB"/>
        </w:rPr>
        <w:t xml:space="preserve">The left side of the table refers to the UITP indicators under each core topic (governance, economic and financial, environmental and energy, social and society), and the right side of the table lists the relevant standard disclosures and category (including their associated clause number) in Global Reporting Initiative (GRI) G4 Sustainability Reporting Buildings.  </w:t>
      </w:r>
      <w:r w:rsidR="004038E0" w:rsidRPr="00B656D5">
        <w:rPr>
          <w:rFonts w:ascii="Century Gothic" w:hAnsi="Century Gothic" w:cs="Angsana New"/>
          <w:sz w:val="20"/>
          <w:szCs w:val="20"/>
          <w:lang w:val="en-GB"/>
        </w:rPr>
        <w:t>Where possible the most relevant standard disclosure has been identified to match the UITP indicators but other may also be applicable from the GRI G4 framework</w:t>
      </w:r>
      <w:r w:rsidR="0078449A" w:rsidRPr="00B656D5">
        <w:rPr>
          <w:rFonts w:ascii="Century Gothic" w:hAnsi="Century Gothic" w:cs="Angsana New"/>
          <w:sz w:val="20"/>
          <w:szCs w:val="20"/>
          <w:lang w:val="en-GB"/>
        </w:rPr>
        <w:t>.  Gaps indicate that an appropriate match between the GRI G4 could not be identified with the UITP indicator set.</w:t>
      </w:r>
    </w:p>
    <w:p w:rsidR="00666B02" w:rsidRPr="00B656D5" w:rsidRDefault="00666B02" w:rsidP="00666B02">
      <w:pPr>
        <w:spacing w:after="0"/>
        <w:rPr>
          <w:rFonts w:ascii="Century Gothic" w:hAnsi="Century Gothic" w:cs="Angsana New"/>
          <w:sz w:val="20"/>
          <w:szCs w:val="20"/>
          <w:lang w:val="en-GB"/>
        </w:rPr>
      </w:pPr>
    </w:p>
    <w:tbl>
      <w:tblPr>
        <w:tblW w:w="5422" w:type="pct"/>
        <w:shd w:val="clear" w:color="auto" w:fill="F79646"/>
        <w:tblLook w:val="04A0" w:firstRow="1" w:lastRow="0" w:firstColumn="1" w:lastColumn="0" w:noHBand="0" w:noVBand="1"/>
      </w:tblPr>
      <w:tblGrid>
        <w:gridCol w:w="1389"/>
        <w:gridCol w:w="3318"/>
        <w:gridCol w:w="3208"/>
        <w:gridCol w:w="6678"/>
      </w:tblGrid>
      <w:tr w:rsidR="00666B02" w:rsidRPr="00C87A25" w:rsidTr="00C5769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9BBB59"/>
            <w:vAlign w:val="center"/>
            <w:hideMark/>
          </w:tcPr>
          <w:p w:rsidR="00666B02" w:rsidRPr="00C57690" w:rsidRDefault="00666B02" w:rsidP="00B656D5">
            <w:pPr>
              <w:spacing w:after="0" w:line="240" w:lineRule="auto"/>
              <w:rPr>
                <w:rFonts w:ascii="Century Gothic" w:eastAsia="Times New Roman" w:hAnsi="Century Gothic" w:cs="Angsana New"/>
                <w:b/>
                <w:bCs/>
                <w:sz w:val="20"/>
                <w:szCs w:val="20"/>
                <w:lang w:val="en-GB" w:eastAsia="en-GB"/>
              </w:rPr>
            </w:pPr>
            <w:r w:rsidRPr="00C57690">
              <w:rPr>
                <w:rFonts w:ascii="Century Gothic" w:eastAsia="Times New Roman" w:hAnsi="Century Gothic" w:cs="Angsana New"/>
                <w:b/>
                <w:bCs/>
                <w:sz w:val="20"/>
                <w:szCs w:val="20"/>
                <w:lang w:val="en-GB" w:eastAsia="en-GB"/>
              </w:rPr>
              <w:t>UITP SUSTAIANBILITY REPORTING FRAMEWORK: GOVERNANCE</w:t>
            </w:r>
          </w:p>
        </w:tc>
      </w:tr>
      <w:tr w:rsidR="00666B02" w:rsidRPr="00C57690" w:rsidTr="00C87A25">
        <w:trPr>
          <w:trHeight w:val="615"/>
        </w:trPr>
        <w:tc>
          <w:tcPr>
            <w:tcW w:w="476" w:type="pct"/>
            <w:tcBorders>
              <w:top w:val="nil"/>
              <w:left w:val="single" w:sz="4" w:space="0" w:color="auto"/>
              <w:bottom w:val="single" w:sz="4" w:space="0" w:color="auto"/>
              <w:right w:val="single" w:sz="4" w:space="0" w:color="auto"/>
            </w:tcBorders>
            <w:shd w:val="clear" w:color="auto" w:fill="9BBB59"/>
            <w:vAlign w:val="center"/>
            <w:hideMark/>
          </w:tcPr>
          <w:p w:rsidR="00666B02" w:rsidRPr="00C57690" w:rsidRDefault="00666B02"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UITP</w:t>
            </w:r>
          </w:p>
          <w:p w:rsidR="00666B02" w:rsidRPr="00C57690" w:rsidRDefault="00666B02"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KPI</w:t>
            </w:r>
          </w:p>
        </w:tc>
        <w:tc>
          <w:tcPr>
            <w:tcW w:w="1137" w:type="pct"/>
            <w:tcBorders>
              <w:top w:val="nil"/>
              <w:left w:val="nil"/>
              <w:bottom w:val="single" w:sz="4" w:space="0" w:color="auto"/>
              <w:right w:val="single" w:sz="4" w:space="0" w:color="auto"/>
            </w:tcBorders>
            <w:shd w:val="clear" w:color="auto" w:fill="9BBB59"/>
            <w:vAlign w:val="center"/>
            <w:hideMark/>
          </w:tcPr>
          <w:p w:rsidR="00666B02" w:rsidRPr="00C57690" w:rsidRDefault="00666B02"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INDICATOR</w:t>
            </w:r>
          </w:p>
        </w:tc>
        <w:tc>
          <w:tcPr>
            <w:tcW w:w="1099" w:type="pct"/>
            <w:tcBorders>
              <w:top w:val="nil"/>
              <w:left w:val="nil"/>
              <w:bottom w:val="single" w:sz="4" w:space="0" w:color="auto"/>
              <w:right w:val="single" w:sz="4" w:space="0" w:color="auto"/>
            </w:tcBorders>
            <w:shd w:val="clear" w:color="auto" w:fill="9BBB59"/>
            <w:vAlign w:val="center"/>
          </w:tcPr>
          <w:p w:rsidR="00666B02" w:rsidRPr="00C57690" w:rsidRDefault="00666B02"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GRI G4 Category</w:t>
            </w:r>
          </w:p>
        </w:tc>
        <w:tc>
          <w:tcPr>
            <w:tcW w:w="2288" w:type="pct"/>
            <w:tcBorders>
              <w:top w:val="nil"/>
              <w:left w:val="nil"/>
              <w:bottom w:val="single" w:sz="4" w:space="0" w:color="auto"/>
              <w:right w:val="single" w:sz="4" w:space="0" w:color="auto"/>
            </w:tcBorders>
            <w:shd w:val="clear" w:color="auto" w:fill="9BBB59"/>
            <w:vAlign w:val="center"/>
          </w:tcPr>
          <w:p w:rsidR="00666B02" w:rsidRPr="00C57690" w:rsidRDefault="00666B02"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GRI G4 Standard Disclosure</w:t>
            </w:r>
          </w:p>
        </w:tc>
      </w:tr>
      <w:tr w:rsidR="00666B02" w:rsidRPr="00C87A25" w:rsidTr="00C87A25">
        <w:trPr>
          <w:trHeight w:val="1074"/>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w:t>
            </w:r>
          </w:p>
        </w:tc>
        <w:tc>
          <w:tcPr>
            <w:tcW w:w="1137" w:type="pct"/>
            <w:tcBorders>
              <w:top w:val="nil"/>
              <w:left w:val="nil"/>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Does your organisation have a CSR/Sustainable Development Manager, special business unit/department or working group</w:t>
            </w:r>
          </w:p>
        </w:tc>
        <w:tc>
          <w:tcPr>
            <w:tcW w:w="1099" w:type="pct"/>
            <w:tcBorders>
              <w:top w:val="nil"/>
              <w:left w:val="nil"/>
              <w:bottom w:val="single" w:sz="4" w:space="0" w:color="auto"/>
              <w:right w:val="single" w:sz="4" w:space="0" w:color="auto"/>
            </w:tcBorders>
            <w:shd w:val="clear" w:color="auto" w:fill="EAF1DD"/>
          </w:tcPr>
          <w:p w:rsidR="004038E0" w:rsidRPr="00C57690" w:rsidRDefault="004038E0"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GOVERNANCE</w:t>
            </w:r>
          </w:p>
          <w:p w:rsidR="00666B02" w:rsidRPr="00C57690" w:rsidRDefault="00666B02" w:rsidP="00B656D5">
            <w:pPr>
              <w:spacing w:after="0" w:line="240" w:lineRule="auto"/>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 xml:space="preserve">Governance </w:t>
            </w:r>
            <w:r w:rsidR="004038E0" w:rsidRPr="00C57690">
              <w:rPr>
                <w:rFonts w:ascii="Century Gothic" w:eastAsia="Times New Roman" w:hAnsi="Century Gothic" w:cs="Angsana New"/>
                <w:sz w:val="20"/>
                <w:szCs w:val="20"/>
                <w:lang w:val="en-GB" w:eastAsia="en-GB"/>
              </w:rPr>
              <w:t>s</w:t>
            </w:r>
            <w:r w:rsidRPr="00C57690">
              <w:rPr>
                <w:rFonts w:ascii="Century Gothic" w:eastAsia="Times New Roman" w:hAnsi="Century Gothic" w:cs="Angsana New"/>
                <w:sz w:val="20"/>
                <w:szCs w:val="20"/>
                <w:lang w:val="en-GB" w:eastAsia="en-GB"/>
              </w:rPr>
              <w:t xml:space="preserve">tructure </w:t>
            </w:r>
            <w:r w:rsidR="004038E0" w:rsidRPr="00C57690">
              <w:rPr>
                <w:rFonts w:ascii="Century Gothic" w:eastAsia="Times New Roman" w:hAnsi="Century Gothic" w:cs="Angsana New"/>
                <w:sz w:val="20"/>
                <w:szCs w:val="20"/>
                <w:lang w:val="en-GB" w:eastAsia="en-GB"/>
              </w:rPr>
              <w:t>and c</w:t>
            </w:r>
            <w:r w:rsidRPr="00C57690">
              <w:rPr>
                <w:rFonts w:ascii="Century Gothic" w:eastAsia="Times New Roman" w:hAnsi="Century Gothic" w:cs="Angsana New"/>
                <w:sz w:val="20"/>
                <w:szCs w:val="20"/>
                <w:lang w:val="en-GB" w:eastAsia="en-GB"/>
              </w:rPr>
              <w:t>omposition</w:t>
            </w:r>
          </w:p>
        </w:tc>
        <w:tc>
          <w:tcPr>
            <w:tcW w:w="2288" w:type="pct"/>
            <w:tcBorders>
              <w:top w:val="nil"/>
              <w:left w:val="nil"/>
              <w:bottom w:val="single" w:sz="4" w:space="0" w:color="auto"/>
              <w:right w:val="single" w:sz="4" w:space="0" w:color="auto"/>
            </w:tcBorders>
            <w:shd w:val="clear" w:color="auto" w:fill="EAF1DD"/>
          </w:tcPr>
          <w:p w:rsidR="004038E0" w:rsidRPr="00C57690" w:rsidRDefault="004038E0" w:rsidP="00B656D5">
            <w:pPr>
              <w:spacing w:after="0" w:line="240" w:lineRule="auto"/>
              <w:rPr>
                <w:rFonts w:ascii="Century Gothic" w:hAnsi="Century Gothic"/>
                <w:b/>
                <w:sz w:val="20"/>
                <w:szCs w:val="20"/>
                <w:lang w:val="en-GB"/>
              </w:rPr>
            </w:pPr>
            <w:r w:rsidRPr="00C57690">
              <w:rPr>
                <w:rFonts w:ascii="Century Gothic" w:eastAsia="Times New Roman" w:hAnsi="Century Gothic" w:cs="Angsana New"/>
                <w:b/>
                <w:sz w:val="20"/>
                <w:szCs w:val="20"/>
                <w:lang w:val="en-GB" w:eastAsia="en-GB"/>
              </w:rPr>
              <w:t>G4-</w:t>
            </w:r>
            <w:r w:rsidR="00666B02" w:rsidRPr="00C57690">
              <w:rPr>
                <w:rFonts w:ascii="Century Gothic" w:eastAsia="Times New Roman" w:hAnsi="Century Gothic" w:cs="Angsana New"/>
                <w:b/>
                <w:sz w:val="20"/>
                <w:szCs w:val="20"/>
                <w:lang w:val="en-GB" w:eastAsia="en-GB"/>
              </w:rPr>
              <w:t>34</w:t>
            </w:r>
            <w:r w:rsidRPr="00C57690">
              <w:rPr>
                <w:rFonts w:ascii="Century Gothic" w:hAnsi="Century Gothic"/>
                <w:b/>
                <w:sz w:val="20"/>
                <w:szCs w:val="20"/>
                <w:lang w:val="en-GB"/>
              </w:rPr>
              <w:t xml:space="preserve"> </w:t>
            </w:r>
          </w:p>
          <w:p w:rsidR="00666B02" w:rsidRPr="00C57690" w:rsidRDefault="004038E0" w:rsidP="004038E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Report the governance structure of the organization, including committees of the highest governance body. Identify any committees responsible for decision-making on economic, environmental and social impacts.</w:t>
            </w:r>
          </w:p>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268"/>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2</w:t>
            </w:r>
          </w:p>
        </w:tc>
        <w:tc>
          <w:tcPr>
            <w:tcW w:w="1137" w:type="pct"/>
            <w:tcBorders>
              <w:top w:val="nil"/>
              <w:left w:val="nil"/>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Does your organisation report regularly on CSR/Sustainable Development performance at Board level</w:t>
            </w:r>
          </w:p>
        </w:tc>
        <w:tc>
          <w:tcPr>
            <w:tcW w:w="1099" w:type="pct"/>
            <w:tcBorders>
              <w:top w:val="nil"/>
              <w:left w:val="nil"/>
              <w:bottom w:val="single" w:sz="4" w:space="0" w:color="auto"/>
              <w:right w:val="single" w:sz="4" w:space="0" w:color="auto"/>
            </w:tcBorders>
            <w:shd w:val="clear" w:color="auto" w:fill="EAF1DD"/>
          </w:tcPr>
          <w:p w:rsidR="004038E0" w:rsidRPr="00C57690" w:rsidRDefault="004038E0" w:rsidP="004038E0">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GOVERNANCE</w:t>
            </w:r>
          </w:p>
          <w:p w:rsidR="00666B02" w:rsidRPr="00C57690" w:rsidRDefault="004038E0" w:rsidP="004038E0">
            <w:pPr>
              <w:spacing w:after="0" w:line="240" w:lineRule="auto"/>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 xml:space="preserve">Highest Governance body’s role in evaluating economic, environmental and social performance </w:t>
            </w:r>
          </w:p>
        </w:tc>
        <w:tc>
          <w:tcPr>
            <w:tcW w:w="2288" w:type="pct"/>
            <w:tcBorders>
              <w:top w:val="nil"/>
              <w:left w:val="nil"/>
              <w:bottom w:val="single" w:sz="4" w:space="0" w:color="auto"/>
              <w:right w:val="single" w:sz="4" w:space="0" w:color="auto"/>
            </w:tcBorders>
            <w:shd w:val="clear" w:color="auto" w:fill="EAF1DD"/>
          </w:tcPr>
          <w:p w:rsidR="00666B02" w:rsidRPr="00C57690" w:rsidRDefault="004038E0"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G4-49</w:t>
            </w:r>
          </w:p>
          <w:p w:rsidR="004038E0" w:rsidRPr="00C57690" w:rsidRDefault="004038E0" w:rsidP="004038E0">
            <w:pPr>
              <w:pStyle w:val="ListParagraph"/>
              <w:numPr>
                <w:ilvl w:val="0"/>
                <w:numId w:val="19"/>
              </w:numPr>
              <w:spacing w:after="0" w:line="240" w:lineRule="auto"/>
              <w:rPr>
                <w:rFonts w:ascii="Century Gothic" w:eastAsia="Times New Roman" w:hAnsi="Century Gothic" w:cs="Angsana New"/>
                <w:b/>
                <w:color w:val="auto"/>
                <w:lang w:val="en-GB" w:eastAsia="en-GB"/>
              </w:rPr>
            </w:pPr>
            <w:r w:rsidRPr="00C57690">
              <w:rPr>
                <w:rFonts w:ascii="Century Gothic" w:hAnsi="Century Gothic"/>
                <w:color w:val="auto"/>
              </w:rPr>
              <w:t>Report the process for communicating critical concerns to the highest governance body.</w:t>
            </w:r>
          </w:p>
        </w:tc>
      </w:tr>
      <w:tr w:rsidR="00C87A25" w:rsidRPr="00C87A25" w:rsidTr="00C87A25">
        <w:trPr>
          <w:trHeight w:val="410"/>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3</w:t>
            </w:r>
          </w:p>
        </w:tc>
        <w:tc>
          <w:tcPr>
            <w:tcW w:w="1137" w:type="pct"/>
            <w:tcBorders>
              <w:top w:val="nil"/>
              <w:left w:val="nil"/>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Are your CSR/sustainable development reports independently verified</w:t>
            </w:r>
          </w:p>
        </w:tc>
        <w:tc>
          <w:tcPr>
            <w:tcW w:w="1099" w:type="pct"/>
            <w:tcBorders>
              <w:top w:val="nil"/>
              <w:left w:val="nil"/>
              <w:bottom w:val="single" w:sz="4" w:space="0" w:color="auto"/>
              <w:right w:val="single" w:sz="4" w:space="0" w:color="auto"/>
            </w:tcBorders>
            <w:shd w:val="clear" w:color="auto" w:fill="EAF1DD"/>
          </w:tcPr>
          <w:p w:rsidR="00C87A25" w:rsidRPr="00C57690" w:rsidRDefault="00C87A25" w:rsidP="00774B70">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C87A25" w:rsidRPr="00C57690"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C87A25">
        <w:trPr>
          <w:trHeight w:val="282"/>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Gov 4</w:t>
            </w:r>
          </w:p>
        </w:tc>
        <w:tc>
          <w:tcPr>
            <w:tcW w:w="1137" w:type="pct"/>
            <w:tcBorders>
              <w:top w:val="nil"/>
              <w:left w:val="nil"/>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Is there a section about CSR/Sustainable Development on your website</w:t>
            </w:r>
          </w:p>
        </w:tc>
        <w:tc>
          <w:tcPr>
            <w:tcW w:w="1099" w:type="pct"/>
            <w:tcBorders>
              <w:top w:val="nil"/>
              <w:left w:val="nil"/>
              <w:bottom w:val="single" w:sz="4" w:space="0" w:color="auto"/>
              <w:right w:val="single" w:sz="4" w:space="0" w:color="auto"/>
            </w:tcBorders>
            <w:shd w:val="clear" w:color="auto" w:fill="EAF1DD"/>
          </w:tcPr>
          <w:p w:rsidR="00666B02" w:rsidRPr="00C57690" w:rsidRDefault="00666B02" w:rsidP="0078449A">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EAF1DD"/>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481"/>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5</w:t>
            </w:r>
          </w:p>
        </w:tc>
        <w:tc>
          <w:tcPr>
            <w:tcW w:w="1137" w:type="pct"/>
            <w:tcBorders>
              <w:top w:val="nil"/>
              <w:left w:val="nil"/>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have a CSR/Sustainable development charter/programmes</w:t>
            </w:r>
          </w:p>
        </w:tc>
        <w:tc>
          <w:tcPr>
            <w:tcW w:w="1099" w:type="pct"/>
            <w:tcBorders>
              <w:top w:val="nil"/>
              <w:left w:val="nil"/>
              <w:bottom w:val="single" w:sz="4" w:space="0" w:color="auto"/>
              <w:right w:val="single" w:sz="4" w:space="0" w:color="auto"/>
            </w:tcBorders>
            <w:shd w:val="clear" w:color="auto" w:fill="EAF1DD"/>
          </w:tcPr>
          <w:p w:rsidR="00666B02" w:rsidRDefault="00C87A25" w:rsidP="0078449A">
            <w:pPr>
              <w:spacing w:after="0" w:line="240" w:lineRule="auto"/>
              <w:rPr>
                <w:rFonts w:ascii="Century Gothic" w:eastAsia="Times New Roman" w:hAnsi="Century Gothic" w:cs="Angsana New"/>
                <w:b/>
                <w:sz w:val="20"/>
                <w:szCs w:val="20"/>
                <w:lang w:val="en-GB" w:eastAsia="en-GB"/>
              </w:rPr>
            </w:pPr>
            <w:r>
              <w:rPr>
                <w:rFonts w:ascii="Century Gothic" w:eastAsia="Times New Roman" w:hAnsi="Century Gothic" w:cs="Angsana New"/>
                <w:b/>
                <w:sz w:val="20"/>
                <w:szCs w:val="20"/>
                <w:lang w:val="en-GB" w:eastAsia="en-GB"/>
              </w:rPr>
              <w:t>ORGANISATIONAL PROFILE</w:t>
            </w:r>
          </w:p>
          <w:p w:rsidR="00C87A25" w:rsidRPr="00C87A25" w:rsidRDefault="00C87A25" w:rsidP="0078449A">
            <w:pPr>
              <w:spacing w:after="0" w:line="240" w:lineRule="auto"/>
              <w:rPr>
                <w:rFonts w:ascii="Century Gothic" w:eastAsia="Times New Roman" w:hAnsi="Century Gothic" w:cs="Angsana New"/>
                <w:sz w:val="20"/>
                <w:szCs w:val="20"/>
                <w:lang w:val="en-GB" w:eastAsia="en-GB"/>
              </w:rPr>
            </w:pPr>
            <w:r>
              <w:rPr>
                <w:rFonts w:ascii="Century Gothic" w:eastAsia="Times New Roman" w:hAnsi="Century Gothic" w:cs="Angsana New"/>
                <w:sz w:val="20"/>
                <w:szCs w:val="20"/>
                <w:lang w:val="en-GB" w:eastAsia="en-GB"/>
              </w:rPr>
              <w:t>COMMITMENTS TO EXTERNAL INITIATIVES</w:t>
            </w:r>
          </w:p>
        </w:tc>
        <w:tc>
          <w:tcPr>
            <w:tcW w:w="2288" w:type="pct"/>
            <w:tcBorders>
              <w:top w:val="nil"/>
              <w:left w:val="nil"/>
              <w:bottom w:val="single" w:sz="4" w:space="0" w:color="auto"/>
              <w:right w:val="single" w:sz="4" w:space="0" w:color="auto"/>
            </w:tcBorders>
            <w:shd w:val="clear" w:color="auto" w:fill="EAF1DD"/>
          </w:tcPr>
          <w:p w:rsidR="00666B02" w:rsidRDefault="00C87A25" w:rsidP="00B656D5">
            <w:pPr>
              <w:spacing w:after="0" w:line="240" w:lineRule="auto"/>
              <w:rPr>
                <w:rFonts w:ascii="Century Gothic" w:eastAsia="Times New Roman" w:hAnsi="Century Gothic" w:cs="Angsana New"/>
                <w:b/>
                <w:sz w:val="20"/>
                <w:szCs w:val="20"/>
                <w:lang w:val="en-GB" w:eastAsia="en-GB"/>
              </w:rPr>
            </w:pPr>
            <w:r>
              <w:rPr>
                <w:rFonts w:ascii="Century Gothic" w:eastAsia="Times New Roman" w:hAnsi="Century Gothic" w:cs="Angsana New"/>
                <w:b/>
                <w:sz w:val="20"/>
                <w:szCs w:val="20"/>
                <w:lang w:val="en-GB" w:eastAsia="en-GB"/>
              </w:rPr>
              <w:t>G4-15</w:t>
            </w:r>
          </w:p>
          <w:p w:rsidR="00C87A25" w:rsidRPr="00C87A25" w:rsidRDefault="00C87A25" w:rsidP="00C87A25">
            <w:pPr>
              <w:pStyle w:val="ListParagraph"/>
              <w:numPr>
                <w:ilvl w:val="0"/>
                <w:numId w:val="19"/>
              </w:numPr>
              <w:spacing w:after="0" w:line="240" w:lineRule="auto"/>
              <w:rPr>
                <w:rFonts w:ascii="Century Gothic" w:eastAsia="Times New Roman" w:hAnsi="Century Gothic" w:cs="Angsana New"/>
                <w:color w:val="auto"/>
                <w:lang w:val="en-GB" w:eastAsia="en-GB"/>
              </w:rPr>
            </w:pPr>
            <w:r w:rsidRPr="00C87A25">
              <w:rPr>
                <w:rFonts w:ascii="Century Gothic" w:hAnsi="Century Gothic"/>
                <w:color w:val="auto"/>
              </w:rPr>
              <w:t>List externally developed economic, environmental and social charters, principles, or other initiatives to which the organization subscribes or which it endorses.</w:t>
            </w:r>
          </w:p>
        </w:tc>
      </w:tr>
      <w:tr w:rsidR="00666B02" w:rsidRPr="00C87A25" w:rsidTr="00C87A25">
        <w:trPr>
          <w:trHeight w:val="705"/>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6</w:t>
            </w:r>
          </w:p>
        </w:tc>
        <w:tc>
          <w:tcPr>
            <w:tcW w:w="1137" w:type="pct"/>
            <w:tcBorders>
              <w:top w:val="nil"/>
              <w:left w:val="nil"/>
              <w:bottom w:val="single" w:sz="4" w:space="0" w:color="auto"/>
              <w:right w:val="single" w:sz="4" w:space="0" w:color="auto"/>
            </w:tcBorders>
            <w:shd w:val="clear" w:color="auto" w:fill="EAF1DD"/>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Does your organisation have an external stakeholder engagement process/es</w:t>
            </w:r>
          </w:p>
        </w:tc>
        <w:tc>
          <w:tcPr>
            <w:tcW w:w="1099" w:type="pct"/>
            <w:tcBorders>
              <w:top w:val="nil"/>
              <w:left w:val="nil"/>
              <w:bottom w:val="single" w:sz="4" w:space="0" w:color="auto"/>
              <w:right w:val="single" w:sz="4" w:space="0" w:color="auto"/>
            </w:tcBorders>
            <w:shd w:val="clear" w:color="auto" w:fill="EAF1DD"/>
          </w:tcPr>
          <w:p w:rsidR="00666B02" w:rsidRPr="00C57690" w:rsidRDefault="0078449A" w:rsidP="0078449A">
            <w:pPr>
              <w:spacing w:after="0" w:line="240" w:lineRule="auto"/>
              <w:rPr>
                <w:rFonts w:ascii="Century Gothic" w:eastAsia="Times New Roman" w:hAnsi="Century Gothic" w:cs="Angsana New"/>
                <w:sz w:val="20"/>
                <w:szCs w:val="20"/>
                <w:lang w:val="en-GB" w:eastAsia="en-GB"/>
              </w:rPr>
            </w:pPr>
            <w:r w:rsidRPr="00C57690">
              <w:rPr>
                <w:rFonts w:ascii="Century Gothic" w:eastAsia="Times New Roman" w:hAnsi="Century Gothic" w:cs="Angsana New"/>
                <w:b/>
                <w:sz w:val="20"/>
                <w:szCs w:val="20"/>
                <w:lang w:val="en-GB" w:eastAsia="en-GB"/>
              </w:rPr>
              <w:t>STAKEHOLDER ENGAGEMENT</w:t>
            </w:r>
          </w:p>
        </w:tc>
        <w:tc>
          <w:tcPr>
            <w:tcW w:w="2288" w:type="pct"/>
            <w:tcBorders>
              <w:top w:val="nil"/>
              <w:left w:val="nil"/>
              <w:bottom w:val="single" w:sz="4" w:space="0" w:color="auto"/>
              <w:right w:val="single" w:sz="4" w:space="0" w:color="auto"/>
            </w:tcBorders>
            <w:shd w:val="clear" w:color="auto" w:fill="EAF1DD"/>
          </w:tcPr>
          <w:p w:rsidR="00666B02" w:rsidRPr="00C57690" w:rsidRDefault="0078449A"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G-26</w:t>
            </w:r>
          </w:p>
          <w:p w:rsidR="0078449A" w:rsidRPr="00C57690" w:rsidRDefault="0078449A" w:rsidP="0078449A">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rPr>
              <w:t>Report the organization’s approach to stakeholder engagement, including frequency of engagement by type and by stakeholder group, and an indication of whether any of the engagement was undertaken specifically as part of the report preparation process.</w:t>
            </w:r>
          </w:p>
        </w:tc>
      </w:tr>
      <w:tr w:rsidR="0078449A" w:rsidRPr="00C87A25" w:rsidTr="00C87A25">
        <w:trPr>
          <w:trHeight w:val="805"/>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7</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Does your organisation have an internal stakeholder engagement process/es</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B656D5">
            <w:pPr>
              <w:spacing w:after="0" w:line="240" w:lineRule="auto"/>
              <w:rPr>
                <w:rFonts w:ascii="Century Gothic" w:eastAsia="Times New Roman" w:hAnsi="Century Gothic" w:cs="Angsana New"/>
                <w:sz w:val="20"/>
                <w:szCs w:val="20"/>
                <w:lang w:val="en-GB" w:eastAsia="en-GB"/>
              </w:rPr>
            </w:pPr>
            <w:r w:rsidRPr="00C57690">
              <w:rPr>
                <w:rFonts w:ascii="Century Gothic" w:eastAsia="Times New Roman" w:hAnsi="Century Gothic" w:cs="Angsana New"/>
                <w:b/>
                <w:sz w:val="20"/>
                <w:szCs w:val="20"/>
                <w:lang w:val="en-GB" w:eastAsia="en-GB"/>
              </w:rPr>
              <w:t>STAKEHOLDER ENGAGEMENT</w:t>
            </w:r>
          </w:p>
        </w:tc>
        <w:tc>
          <w:tcPr>
            <w:tcW w:w="2288" w:type="pct"/>
            <w:tcBorders>
              <w:top w:val="nil"/>
              <w:left w:val="nil"/>
              <w:bottom w:val="single" w:sz="4" w:space="0" w:color="auto"/>
              <w:right w:val="single" w:sz="4" w:space="0" w:color="auto"/>
            </w:tcBorders>
            <w:shd w:val="clear" w:color="auto" w:fill="EAF1DD"/>
          </w:tcPr>
          <w:p w:rsidR="0078449A" w:rsidRPr="00C57690" w:rsidRDefault="0078449A"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G-26</w:t>
            </w:r>
          </w:p>
          <w:p w:rsidR="0078449A" w:rsidRPr="00C57690" w:rsidRDefault="0078449A"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rPr>
              <w:t>Report the organization’s approach to stakeholder engagement, including frequency of engagement by type and by stakeholder group, and an indication of whether any of the engagement was undertaken specifically as part of the report preparation process.</w:t>
            </w:r>
          </w:p>
        </w:tc>
      </w:tr>
      <w:tr w:rsidR="0078449A" w:rsidRPr="00C87A25" w:rsidTr="00C87A25">
        <w:trPr>
          <w:trHeight w:val="659"/>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8</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adhere to National or international management standards</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78449A">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78449A" w:rsidRPr="00C57690" w:rsidRDefault="0078449A" w:rsidP="0078449A">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78449A" w:rsidRPr="00C87A25" w:rsidTr="00C87A25">
        <w:trPr>
          <w:trHeight w:val="693"/>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9</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have Quality Management processes</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78449A" w:rsidRPr="00C57690" w:rsidRDefault="0078449A"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78449A" w:rsidRPr="00C87A25" w:rsidTr="00C87A25">
        <w:trPr>
          <w:trHeight w:val="283"/>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10</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have a risk management process</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78449A" w:rsidRPr="00C57690" w:rsidRDefault="0078449A"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 xml:space="preserve">The DMA is intended to give the organization an opportunity to explain how the economic, environmental </w:t>
            </w:r>
            <w:r w:rsidRPr="00C57690">
              <w:rPr>
                <w:rFonts w:ascii="Century Gothic" w:hAnsi="Century Gothic" w:cs="Myriad Pro"/>
                <w:color w:val="auto"/>
                <w:lang w:val="en-GB"/>
              </w:rPr>
              <w:lastRenderedPageBreak/>
              <w:t>and social impacts related to material Aspects are managed.</w:t>
            </w:r>
          </w:p>
        </w:tc>
      </w:tr>
      <w:tr w:rsidR="0078449A" w:rsidRPr="00C87A25" w:rsidTr="00C87A25">
        <w:trPr>
          <w:trHeight w:val="1827"/>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Gov 11</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have a policy on human rights, labour practices and fair trading with suppliers and procurement</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78449A">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INVESTMENT</w:t>
            </w:r>
          </w:p>
          <w:p w:rsidR="0078449A" w:rsidRPr="00C57690" w:rsidRDefault="0078449A" w:rsidP="0078449A">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bCs/>
                <w:caps/>
                <w:sz w:val="20"/>
                <w:szCs w:val="20"/>
                <w:lang w:val="en-GB"/>
              </w:rPr>
              <w:t>TOTAL NUMBER AND PERCENTAGE OF SIGNIFICANT INVESTMENT AGREEMENTS AND CONTRACTS THAT INCLUDE HUMAN RIGHTS CLAUSES OR THAT UNDERWENT HUMAN RIGHTS SCREENING</w:t>
            </w:r>
          </w:p>
        </w:tc>
        <w:tc>
          <w:tcPr>
            <w:tcW w:w="2288" w:type="pct"/>
            <w:tcBorders>
              <w:top w:val="nil"/>
              <w:left w:val="nil"/>
              <w:bottom w:val="single" w:sz="4" w:space="0" w:color="auto"/>
              <w:right w:val="single" w:sz="4" w:space="0" w:color="auto"/>
            </w:tcBorders>
            <w:shd w:val="clear" w:color="auto" w:fill="EAF1DD"/>
          </w:tcPr>
          <w:p w:rsidR="0078449A" w:rsidRPr="00C57690" w:rsidRDefault="0078449A"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G4-HR1</w:t>
            </w:r>
          </w:p>
          <w:p w:rsidR="0078449A" w:rsidRPr="00C57690" w:rsidRDefault="0078449A" w:rsidP="0078449A">
            <w:pPr>
              <w:pStyle w:val="ListParagraph"/>
              <w:numPr>
                <w:ilvl w:val="0"/>
                <w:numId w:val="16"/>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the total number and percentage of significant investment agreements and contracts that include human rights clauses or that underwent human rights screening. b. Report the definition of ‘significant investment agreements’ used by the organization.</w:t>
            </w:r>
          </w:p>
        </w:tc>
      </w:tr>
      <w:tr w:rsidR="0078449A" w:rsidRPr="00C87A25" w:rsidTr="00C87A25">
        <w:trPr>
          <w:trHeight w:val="910"/>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12</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have anti-corruption policies</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78449A">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ANTI-CORRUPTION</w:t>
            </w:r>
          </w:p>
          <w:p w:rsidR="0078449A" w:rsidRPr="00C57690" w:rsidRDefault="0078449A" w:rsidP="0078449A">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COMMUNICATION AND TRAINING ON ANTI-CORRUPTION POLICIES AND PROCEDURES</w:t>
            </w:r>
          </w:p>
        </w:tc>
        <w:tc>
          <w:tcPr>
            <w:tcW w:w="2288" w:type="pct"/>
            <w:tcBorders>
              <w:top w:val="nil"/>
              <w:left w:val="nil"/>
              <w:bottom w:val="single" w:sz="4" w:space="0" w:color="auto"/>
              <w:right w:val="single" w:sz="4" w:space="0" w:color="auto"/>
            </w:tcBorders>
            <w:shd w:val="clear" w:color="auto" w:fill="EAF1DD"/>
          </w:tcPr>
          <w:p w:rsidR="00906149" w:rsidRPr="00C57690" w:rsidRDefault="00906149" w:rsidP="00906149">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G4-SO4</w:t>
            </w:r>
          </w:p>
          <w:p w:rsidR="0078449A" w:rsidRPr="00C57690" w:rsidRDefault="0078449A" w:rsidP="00906149">
            <w:pPr>
              <w:pStyle w:val="ListParagraph"/>
              <w:numPr>
                <w:ilvl w:val="0"/>
                <w:numId w:val="16"/>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the total number and percentage of governance body members that the organization’s anti-corruption policies and procedures have been communicated to, broken down by region. b. Report the total number and percentage of employees that the organization’s anti-corruption policies and procedures have been communicated to, broken down by employee category and region. c. Report the total number and percentage of business partners that the organization’s anti-corruption policies and procedures have been communicated to, broken down by type of business partner and region. d. Report the total number and percentage of governance body members that have received training on anti-corruption, broken down by region. e. Report the total number and percentage of employees that have received training on anti-corruption, broken down by employee category and region.</w:t>
            </w:r>
          </w:p>
        </w:tc>
      </w:tr>
      <w:tr w:rsidR="00C604A8" w:rsidRPr="00C87A25" w:rsidTr="00C87A25">
        <w:trPr>
          <w:trHeight w:val="1183"/>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604A8" w:rsidRPr="00C57690" w:rsidRDefault="00C604A8"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Gov 13</w:t>
            </w:r>
          </w:p>
        </w:tc>
        <w:tc>
          <w:tcPr>
            <w:tcW w:w="1137" w:type="pct"/>
            <w:tcBorders>
              <w:top w:val="nil"/>
              <w:left w:val="nil"/>
              <w:bottom w:val="single" w:sz="4" w:space="0" w:color="auto"/>
              <w:right w:val="single" w:sz="4" w:space="0" w:color="auto"/>
            </w:tcBorders>
            <w:shd w:val="clear" w:color="auto" w:fill="EAF1DD"/>
            <w:vAlign w:val="center"/>
            <w:hideMark/>
          </w:tcPr>
          <w:p w:rsidR="00C604A8" w:rsidRPr="00C57690" w:rsidRDefault="00C604A8"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have sustainable procurement and tendering procedures over and above European and national obligations</w:t>
            </w:r>
          </w:p>
        </w:tc>
        <w:tc>
          <w:tcPr>
            <w:tcW w:w="1099" w:type="pct"/>
            <w:tcBorders>
              <w:top w:val="nil"/>
              <w:left w:val="nil"/>
              <w:bottom w:val="single" w:sz="4" w:space="0" w:color="auto"/>
              <w:right w:val="single" w:sz="4" w:space="0" w:color="auto"/>
            </w:tcBorders>
            <w:shd w:val="clear" w:color="auto" w:fill="EAF1DD"/>
          </w:tcPr>
          <w:p w:rsidR="00C604A8" w:rsidRPr="00C57690" w:rsidRDefault="00C604A8"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C604A8" w:rsidRPr="00C57690" w:rsidRDefault="00C604A8"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78449A" w:rsidRPr="00C87A25" w:rsidTr="00C87A25">
        <w:trPr>
          <w:trHeight w:val="268"/>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14</w:t>
            </w:r>
          </w:p>
        </w:tc>
        <w:tc>
          <w:tcPr>
            <w:tcW w:w="1137" w:type="pct"/>
            <w:tcBorders>
              <w:top w:val="nil"/>
              <w:left w:val="nil"/>
              <w:bottom w:val="single" w:sz="4" w:space="0" w:color="auto"/>
              <w:right w:val="single" w:sz="4" w:space="0" w:color="auto"/>
            </w:tcBorders>
            <w:shd w:val="clear" w:color="auto" w:fill="EAF1DD"/>
            <w:vAlign w:val="center"/>
            <w:hideMark/>
          </w:tcPr>
          <w:p w:rsidR="0078449A" w:rsidRPr="00C57690" w:rsidRDefault="0078449A"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Recognition awards received at international/national, regional or local level</w:t>
            </w:r>
          </w:p>
        </w:tc>
        <w:tc>
          <w:tcPr>
            <w:tcW w:w="1099" w:type="pct"/>
            <w:tcBorders>
              <w:top w:val="nil"/>
              <w:left w:val="nil"/>
              <w:bottom w:val="single" w:sz="4" w:space="0" w:color="auto"/>
              <w:right w:val="single" w:sz="4" w:space="0" w:color="auto"/>
            </w:tcBorders>
            <w:shd w:val="clear" w:color="auto" w:fill="EAF1DD"/>
          </w:tcPr>
          <w:p w:rsidR="0078449A" w:rsidRPr="00C57690" w:rsidRDefault="0078449A" w:rsidP="00906149">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EAF1DD"/>
          </w:tcPr>
          <w:p w:rsidR="00906149" w:rsidRPr="00C57690" w:rsidRDefault="00906149" w:rsidP="00906149">
            <w:pPr>
              <w:pStyle w:val="Default"/>
              <w:rPr>
                <w:rFonts w:ascii="Century Gothic" w:hAnsi="Century Gothic"/>
                <w:b/>
                <w:bCs/>
                <w:color w:val="auto"/>
                <w:sz w:val="20"/>
                <w:szCs w:val="20"/>
              </w:rPr>
            </w:pPr>
          </w:p>
          <w:p w:rsidR="00906149" w:rsidRPr="00C57690" w:rsidRDefault="00906149" w:rsidP="00906149">
            <w:pPr>
              <w:pStyle w:val="Default"/>
              <w:rPr>
                <w:rFonts w:ascii="Century Gothic" w:hAnsi="Century Gothic"/>
                <w:color w:val="auto"/>
                <w:sz w:val="20"/>
                <w:szCs w:val="20"/>
              </w:rPr>
            </w:pPr>
          </w:p>
          <w:p w:rsidR="00906149" w:rsidRPr="00C57690" w:rsidRDefault="00906149" w:rsidP="00B656D5">
            <w:pPr>
              <w:spacing w:after="0" w:line="240" w:lineRule="auto"/>
              <w:rPr>
                <w:rFonts w:ascii="Century Gothic" w:eastAsia="Times New Roman" w:hAnsi="Century Gothic" w:cs="Angsana New"/>
                <w:sz w:val="20"/>
                <w:szCs w:val="20"/>
                <w:lang w:val="en-GB" w:eastAsia="en-GB"/>
              </w:rPr>
            </w:pPr>
          </w:p>
        </w:tc>
      </w:tr>
      <w:tr w:rsidR="00C87A25" w:rsidRPr="00C87A25" w:rsidTr="00C87A25">
        <w:trPr>
          <w:trHeight w:val="826"/>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15</w:t>
            </w:r>
          </w:p>
        </w:tc>
        <w:tc>
          <w:tcPr>
            <w:tcW w:w="1137" w:type="pct"/>
            <w:tcBorders>
              <w:top w:val="nil"/>
              <w:left w:val="nil"/>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Does your organisation have a policy on recycling (office and production)</w:t>
            </w:r>
          </w:p>
        </w:tc>
        <w:tc>
          <w:tcPr>
            <w:tcW w:w="1099" w:type="pct"/>
            <w:tcBorders>
              <w:top w:val="nil"/>
              <w:left w:val="nil"/>
              <w:bottom w:val="single" w:sz="4" w:space="0" w:color="auto"/>
              <w:right w:val="single" w:sz="4" w:space="0" w:color="auto"/>
            </w:tcBorders>
            <w:shd w:val="clear" w:color="auto" w:fill="EAF1DD"/>
          </w:tcPr>
          <w:p w:rsidR="00C87A25" w:rsidRPr="00C57690" w:rsidRDefault="00C87A25" w:rsidP="00774B70">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C87A25" w:rsidRPr="00C57690"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C87A25" w:rsidRPr="00C87A25" w:rsidTr="00C87A25">
        <w:trPr>
          <w:trHeight w:val="838"/>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16</w:t>
            </w:r>
          </w:p>
        </w:tc>
        <w:tc>
          <w:tcPr>
            <w:tcW w:w="1137" w:type="pct"/>
            <w:tcBorders>
              <w:top w:val="nil"/>
              <w:left w:val="nil"/>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Does your organisation have a sustainable scrappage policy for old vehicles</w:t>
            </w:r>
          </w:p>
        </w:tc>
        <w:tc>
          <w:tcPr>
            <w:tcW w:w="1099" w:type="pct"/>
            <w:tcBorders>
              <w:top w:val="nil"/>
              <w:left w:val="nil"/>
              <w:bottom w:val="single" w:sz="4" w:space="0" w:color="auto"/>
              <w:right w:val="single" w:sz="4" w:space="0" w:color="auto"/>
            </w:tcBorders>
            <w:shd w:val="clear" w:color="auto" w:fill="EAF1DD"/>
          </w:tcPr>
          <w:p w:rsidR="00C87A25" w:rsidRPr="00C57690" w:rsidRDefault="00C87A25" w:rsidP="00774B70">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EAF1DD"/>
          </w:tcPr>
          <w:p w:rsidR="00C87A25" w:rsidRPr="00C57690"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C87A25" w:rsidRPr="00C87A25" w:rsidTr="00C87A25">
        <w:trPr>
          <w:trHeight w:val="702"/>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17:1</w:t>
            </w:r>
          </w:p>
        </w:tc>
        <w:tc>
          <w:tcPr>
            <w:tcW w:w="1137" w:type="pct"/>
            <w:tcBorders>
              <w:top w:val="nil"/>
              <w:left w:val="nil"/>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Is your city/town taking measures to improve intermodality (ticketing)</w:t>
            </w:r>
          </w:p>
        </w:tc>
        <w:tc>
          <w:tcPr>
            <w:tcW w:w="1099" w:type="pct"/>
            <w:tcBorders>
              <w:top w:val="nil"/>
              <w:left w:val="nil"/>
              <w:bottom w:val="single" w:sz="4" w:space="0" w:color="auto"/>
              <w:right w:val="single" w:sz="4" w:space="0" w:color="auto"/>
            </w:tcBorders>
            <w:shd w:val="clear" w:color="auto" w:fill="EAF1DD"/>
          </w:tcPr>
          <w:p w:rsidR="00C87A25" w:rsidRPr="00C57690" w:rsidRDefault="00C87A25" w:rsidP="00906149">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EAF1DD"/>
          </w:tcPr>
          <w:p w:rsidR="00C87A25" w:rsidRPr="00C57690" w:rsidRDefault="00C87A25" w:rsidP="00B656D5">
            <w:pPr>
              <w:spacing w:after="0" w:line="240" w:lineRule="auto"/>
              <w:rPr>
                <w:rFonts w:ascii="Century Gothic" w:eastAsia="Times New Roman" w:hAnsi="Century Gothic" w:cs="Angsana New"/>
                <w:sz w:val="20"/>
                <w:szCs w:val="20"/>
                <w:lang w:val="en-GB" w:eastAsia="en-GB"/>
              </w:rPr>
            </w:pPr>
          </w:p>
        </w:tc>
      </w:tr>
      <w:tr w:rsidR="00C87A25" w:rsidRPr="00C87A25" w:rsidTr="00C87A25">
        <w:trPr>
          <w:trHeight w:val="774"/>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17:2</w:t>
            </w:r>
          </w:p>
        </w:tc>
        <w:tc>
          <w:tcPr>
            <w:tcW w:w="1137" w:type="pct"/>
            <w:tcBorders>
              <w:top w:val="nil"/>
              <w:left w:val="nil"/>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Is your city/town taking measures to improve intermodality (sharing schemes)</w:t>
            </w:r>
          </w:p>
        </w:tc>
        <w:tc>
          <w:tcPr>
            <w:tcW w:w="1099" w:type="pct"/>
            <w:tcBorders>
              <w:top w:val="nil"/>
              <w:left w:val="nil"/>
              <w:bottom w:val="single" w:sz="4" w:space="0" w:color="auto"/>
              <w:right w:val="single" w:sz="4" w:space="0" w:color="auto"/>
            </w:tcBorders>
            <w:shd w:val="clear" w:color="auto" w:fill="EAF1DD"/>
          </w:tcPr>
          <w:p w:rsidR="00C87A25" w:rsidRPr="00C57690" w:rsidRDefault="00C87A25" w:rsidP="00906149">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EAF1DD"/>
          </w:tcPr>
          <w:p w:rsidR="00C87A25" w:rsidRPr="00C57690" w:rsidRDefault="00C87A25" w:rsidP="00B656D5">
            <w:pPr>
              <w:spacing w:after="0" w:line="240" w:lineRule="auto"/>
              <w:rPr>
                <w:rFonts w:ascii="Century Gothic" w:eastAsia="Times New Roman" w:hAnsi="Century Gothic" w:cs="Angsana New"/>
                <w:sz w:val="20"/>
                <w:szCs w:val="20"/>
                <w:lang w:val="en-GB" w:eastAsia="en-GB"/>
              </w:rPr>
            </w:pPr>
          </w:p>
        </w:tc>
      </w:tr>
      <w:tr w:rsidR="00C87A25" w:rsidRPr="00C87A25" w:rsidTr="00C87A25">
        <w:trPr>
          <w:trHeight w:val="282"/>
        </w:trPr>
        <w:tc>
          <w:tcPr>
            <w:tcW w:w="476" w:type="pct"/>
            <w:tcBorders>
              <w:top w:val="nil"/>
              <w:left w:val="single" w:sz="4" w:space="0" w:color="auto"/>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Gov 18</w:t>
            </w:r>
          </w:p>
        </w:tc>
        <w:tc>
          <w:tcPr>
            <w:tcW w:w="1137" w:type="pct"/>
            <w:tcBorders>
              <w:top w:val="nil"/>
              <w:left w:val="nil"/>
              <w:bottom w:val="single" w:sz="4" w:space="0" w:color="auto"/>
              <w:right w:val="single" w:sz="4" w:space="0" w:color="auto"/>
            </w:tcBorders>
            <w:shd w:val="clear" w:color="auto" w:fill="EAF1DD"/>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Do you use any of the following: Global Reporting Initiative; Balance scorecard approach; ISO 26000; AA 1000</w:t>
            </w:r>
          </w:p>
        </w:tc>
        <w:tc>
          <w:tcPr>
            <w:tcW w:w="1099" w:type="pct"/>
            <w:tcBorders>
              <w:top w:val="nil"/>
              <w:left w:val="nil"/>
              <w:bottom w:val="single" w:sz="4" w:space="0" w:color="auto"/>
              <w:right w:val="single" w:sz="4" w:space="0" w:color="auto"/>
            </w:tcBorders>
            <w:shd w:val="clear" w:color="auto" w:fill="EAF1DD"/>
          </w:tcPr>
          <w:p w:rsidR="00C87A25" w:rsidRDefault="00C87A25" w:rsidP="00774B70">
            <w:pPr>
              <w:spacing w:after="0" w:line="240" w:lineRule="auto"/>
              <w:rPr>
                <w:rFonts w:ascii="Century Gothic" w:eastAsia="Times New Roman" w:hAnsi="Century Gothic" w:cs="Angsana New"/>
                <w:b/>
                <w:sz w:val="20"/>
                <w:szCs w:val="20"/>
                <w:lang w:val="en-GB" w:eastAsia="en-GB"/>
              </w:rPr>
            </w:pPr>
            <w:r>
              <w:rPr>
                <w:rFonts w:ascii="Century Gothic" w:eastAsia="Times New Roman" w:hAnsi="Century Gothic" w:cs="Angsana New"/>
                <w:b/>
                <w:sz w:val="20"/>
                <w:szCs w:val="20"/>
                <w:lang w:val="en-GB" w:eastAsia="en-GB"/>
              </w:rPr>
              <w:t>ORGANISATIONAL PROFILE</w:t>
            </w:r>
          </w:p>
          <w:p w:rsidR="00C87A25" w:rsidRPr="00C87A25" w:rsidRDefault="00C87A25" w:rsidP="00774B70">
            <w:pPr>
              <w:spacing w:after="0" w:line="240" w:lineRule="auto"/>
              <w:rPr>
                <w:rFonts w:ascii="Century Gothic" w:eastAsia="Times New Roman" w:hAnsi="Century Gothic" w:cs="Angsana New"/>
                <w:sz w:val="20"/>
                <w:szCs w:val="20"/>
                <w:lang w:val="en-GB" w:eastAsia="en-GB"/>
              </w:rPr>
            </w:pPr>
            <w:r>
              <w:rPr>
                <w:rFonts w:ascii="Century Gothic" w:eastAsia="Times New Roman" w:hAnsi="Century Gothic" w:cs="Angsana New"/>
                <w:sz w:val="20"/>
                <w:szCs w:val="20"/>
                <w:lang w:val="en-GB" w:eastAsia="en-GB"/>
              </w:rPr>
              <w:t>COMMITMENTS TO EXTERNAL INITIATIVES</w:t>
            </w:r>
          </w:p>
        </w:tc>
        <w:tc>
          <w:tcPr>
            <w:tcW w:w="2288" w:type="pct"/>
            <w:tcBorders>
              <w:top w:val="nil"/>
              <w:left w:val="nil"/>
              <w:bottom w:val="single" w:sz="4" w:space="0" w:color="auto"/>
              <w:right w:val="single" w:sz="4" w:space="0" w:color="auto"/>
            </w:tcBorders>
            <w:shd w:val="clear" w:color="auto" w:fill="EAF1DD"/>
          </w:tcPr>
          <w:p w:rsidR="00C87A25" w:rsidRDefault="00C87A25" w:rsidP="00774B70">
            <w:pPr>
              <w:spacing w:after="0" w:line="240" w:lineRule="auto"/>
              <w:rPr>
                <w:rFonts w:ascii="Century Gothic" w:eastAsia="Times New Roman" w:hAnsi="Century Gothic" w:cs="Angsana New"/>
                <w:b/>
                <w:sz w:val="20"/>
                <w:szCs w:val="20"/>
                <w:lang w:val="en-GB" w:eastAsia="en-GB"/>
              </w:rPr>
            </w:pPr>
            <w:r>
              <w:rPr>
                <w:rFonts w:ascii="Century Gothic" w:eastAsia="Times New Roman" w:hAnsi="Century Gothic" w:cs="Angsana New"/>
                <w:b/>
                <w:sz w:val="20"/>
                <w:szCs w:val="20"/>
                <w:lang w:val="en-GB" w:eastAsia="en-GB"/>
              </w:rPr>
              <w:t>G4-15</w:t>
            </w:r>
          </w:p>
          <w:p w:rsidR="00C87A25" w:rsidRPr="00C87A25"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87A25">
              <w:rPr>
                <w:rFonts w:ascii="Century Gothic" w:hAnsi="Century Gothic"/>
                <w:color w:val="auto"/>
              </w:rPr>
              <w:t>List externally developed economic, environmental and social charters, principles, or other initiatives to which the organization subscribes or which it endorses.</w:t>
            </w:r>
          </w:p>
        </w:tc>
      </w:tr>
    </w:tbl>
    <w:p w:rsidR="00666B02" w:rsidRDefault="00666B02" w:rsidP="00666B02">
      <w:pPr>
        <w:autoSpaceDE w:val="0"/>
        <w:autoSpaceDN w:val="0"/>
        <w:adjustRightInd w:val="0"/>
        <w:spacing w:after="0"/>
        <w:rPr>
          <w:rFonts w:ascii="Century Gothic" w:hAnsi="Century Gothic" w:cs="Angsana New"/>
          <w:sz w:val="20"/>
          <w:szCs w:val="20"/>
          <w:lang w:val="en-GB"/>
        </w:rPr>
      </w:pPr>
    </w:p>
    <w:p w:rsidR="003345DF" w:rsidRDefault="003345DF" w:rsidP="00666B02">
      <w:pPr>
        <w:autoSpaceDE w:val="0"/>
        <w:autoSpaceDN w:val="0"/>
        <w:adjustRightInd w:val="0"/>
        <w:spacing w:after="0"/>
        <w:rPr>
          <w:rFonts w:ascii="Century Gothic" w:hAnsi="Century Gothic" w:cs="Angsana New"/>
          <w:sz w:val="20"/>
          <w:szCs w:val="20"/>
          <w:lang w:val="en-GB"/>
        </w:rPr>
      </w:pPr>
    </w:p>
    <w:p w:rsidR="003345DF" w:rsidRDefault="003345DF" w:rsidP="00666B02">
      <w:pPr>
        <w:autoSpaceDE w:val="0"/>
        <w:autoSpaceDN w:val="0"/>
        <w:adjustRightInd w:val="0"/>
        <w:spacing w:after="0"/>
        <w:rPr>
          <w:rFonts w:ascii="Century Gothic" w:hAnsi="Century Gothic" w:cs="Angsana New"/>
          <w:sz w:val="20"/>
          <w:szCs w:val="20"/>
          <w:lang w:val="en-GB"/>
        </w:rPr>
      </w:pPr>
    </w:p>
    <w:p w:rsidR="003345DF" w:rsidRDefault="003345DF" w:rsidP="00666B02">
      <w:pPr>
        <w:autoSpaceDE w:val="0"/>
        <w:autoSpaceDN w:val="0"/>
        <w:adjustRightInd w:val="0"/>
        <w:spacing w:after="0"/>
        <w:rPr>
          <w:rFonts w:ascii="Century Gothic" w:hAnsi="Century Gothic" w:cs="Angsana New"/>
          <w:sz w:val="20"/>
          <w:szCs w:val="20"/>
          <w:lang w:val="en-GB"/>
        </w:rPr>
      </w:pPr>
    </w:p>
    <w:p w:rsidR="003345DF" w:rsidRPr="00B656D5" w:rsidRDefault="003345DF" w:rsidP="00666B02">
      <w:pPr>
        <w:autoSpaceDE w:val="0"/>
        <w:autoSpaceDN w:val="0"/>
        <w:adjustRightInd w:val="0"/>
        <w:spacing w:after="0"/>
        <w:rPr>
          <w:rFonts w:ascii="Century Gothic" w:hAnsi="Century Gothic" w:cs="Angsana New"/>
          <w:sz w:val="20"/>
          <w:szCs w:val="20"/>
          <w:lang w:val="en-GB"/>
        </w:rPr>
      </w:pPr>
    </w:p>
    <w:tbl>
      <w:tblPr>
        <w:tblW w:w="5422" w:type="pct"/>
        <w:shd w:val="clear" w:color="auto" w:fill="4BACC6"/>
        <w:tblLook w:val="04A0" w:firstRow="1" w:lastRow="0" w:firstColumn="1" w:lastColumn="0" w:noHBand="0" w:noVBand="1"/>
      </w:tblPr>
      <w:tblGrid>
        <w:gridCol w:w="1389"/>
        <w:gridCol w:w="3318"/>
        <w:gridCol w:w="3208"/>
        <w:gridCol w:w="6678"/>
      </w:tblGrid>
      <w:tr w:rsidR="00666B02" w:rsidRPr="00C87A25" w:rsidTr="00C5769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4F81BD"/>
            <w:vAlign w:val="center"/>
            <w:hideMark/>
          </w:tcPr>
          <w:p w:rsidR="00666B02" w:rsidRPr="00C57690" w:rsidRDefault="00666B02" w:rsidP="00B656D5">
            <w:pPr>
              <w:spacing w:after="0" w:line="240" w:lineRule="auto"/>
              <w:rPr>
                <w:rFonts w:ascii="Century Gothic" w:eastAsia="Times New Roman" w:hAnsi="Century Gothic" w:cs="Angsana New"/>
                <w:b/>
                <w:bCs/>
                <w:sz w:val="20"/>
                <w:szCs w:val="20"/>
                <w:lang w:val="en-GB" w:eastAsia="en-GB"/>
              </w:rPr>
            </w:pPr>
            <w:r w:rsidRPr="00C57690">
              <w:rPr>
                <w:rFonts w:ascii="Century Gothic" w:eastAsia="Times New Roman" w:hAnsi="Century Gothic" w:cs="Angsana New"/>
                <w:b/>
                <w:bCs/>
                <w:sz w:val="20"/>
                <w:szCs w:val="20"/>
                <w:lang w:val="en-GB" w:eastAsia="en-GB"/>
              </w:rPr>
              <w:t>UITP SUSTAIANBILITY REPORTING FRAMEWORK: ECONOMIC AND FINANCIAL</w:t>
            </w:r>
          </w:p>
        </w:tc>
      </w:tr>
      <w:tr w:rsidR="00906149" w:rsidRPr="00C57690" w:rsidTr="00C87A25">
        <w:trPr>
          <w:trHeight w:val="441"/>
        </w:trPr>
        <w:tc>
          <w:tcPr>
            <w:tcW w:w="476" w:type="pct"/>
            <w:tcBorders>
              <w:top w:val="nil"/>
              <w:left w:val="single" w:sz="4" w:space="0" w:color="auto"/>
              <w:bottom w:val="single" w:sz="4" w:space="0" w:color="auto"/>
              <w:right w:val="single" w:sz="4" w:space="0" w:color="auto"/>
            </w:tcBorders>
            <w:shd w:val="clear" w:color="auto" w:fill="4F81BD"/>
            <w:vAlign w:val="center"/>
            <w:hideMark/>
          </w:tcPr>
          <w:p w:rsidR="00906149" w:rsidRPr="00C57690" w:rsidRDefault="00906149"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UITP</w:t>
            </w:r>
          </w:p>
          <w:p w:rsidR="00906149" w:rsidRPr="00C57690" w:rsidRDefault="00906149"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KPI</w:t>
            </w:r>
          </w:p>
        </w:tc>
        <w:tc>
          <w:tcPr>
            <w:tcW w:w="1137" w:type="pct"/>
            <w:tcBorders>
              <w:top w:val="nil"/>
              <w:left w:val="nil"/>
              <w:bottom w:val="single" w:sz="4" w:space="0" w:color="auto"/>
              <w:right w:val="single" w:sz="4" w:space="0" w:color="auto"/>
            </w:tcBorders>
            <w:shd w:val="clear" w:color="auto" w:fill="4F81BD"/>
            <w:vAlign w:val="center"/>
            <w:hideMark/>
          </w:tcPr>
          <w:p w:rsidR="00906149" w:rsidRPr="00C57690" w:rsidRDefault="00906149"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INDICATOR</w:t>
            </w:r>
          </w:p>
        </w:tc>
        <w:tc>
          <w:tcPr>
            <w:tcW w:w="1099" w:type="pct"/>
            <w:tcBorders>
              <w:top w:val="nil"/>
              <w:left w:val="nil"/>
              <w:bottom w:val="single" w:sz="4" w:space="0" w:color="auto"/>
              <w:right w:val="single" w:sz="4" w:space="0" w:color="auto"/>
            </w:tcBorders>
            <w:shd w:val="clear" w:color="auto" w:fill="4F81BD"/>
            <w:vAlign w:val="center"/>
          </w:tcPr>
          <w:p w:rsidR="00906149" w:rsidRPr="00C57690" w:rsidRDefault="00906149"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GRI G4 Category</w:t>
            </w:r>
          </w:p>
        </w:tc>
        <w:tc>
          <w:tcPr>
            <w:tcW w:w="2288" w:type="pct"/>
            <w:tcBorders>
              <w:top w:val="nil"/>
              <w:left w:val="nil"/>
              <w:bottom w:val="single" w:sz="4" w:space="0" w:color="auto"/>
              <w:right w:val="single" w:sz="4" w:space="0" w:color="auto"/>
            </w:tcBorders>
            <w:shd w:val="clear" w:color="auto" w:fill="4F81BD"/>
            <w:vAlign w:val="center"/>
          </w:tcPr>
          <w:p w:rsidR="00906149" w:rsidRPr="00C57690" w:rsidRDefault="00906149"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GRI G4 Standard Disclosure</w:t>
            </w:r>
          </w:p>
        </w:tc>
      </w:tr>
      <w:tr w:rsidR="00666B02" w:rsidRPr="00C57690" w:rsidTr="00C87A25">
        <w:trPr>
          <w:trHeight w:val="662"/>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Total passengers carried</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906149">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471"/>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2</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Information on revenue sources</w:t>
            </w:r>
          </w:p>
        </w:tc>
        <w:tc>
          <w:tcPr>
            <w:tcW w:w="1099" w:type="pct"/>
            <w:tcBorders>
              <w:top w:val="nil"/>
              <w:left w:val="nil"/>
              <w:bottom w:val="single" w:sz="4" w:space="0" w:color="auto"/>
              <w:right w:val="single" w:sz="4" w:space="0" w:color="auto"/>
            </w:tcBorders>
            <w:shd w:val="clear" w:color="auto" w:fill="DBE5F1"/>
          </w:tcPr>
          <w:p w:rsidR="00666B02" w:rsidRPr="00C57690" w:rsidRDefault="00906149" w:rsidP="00906149">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ECONOMIC PERFORMANCE</w:t>
            </w:r>
          </w:p>
          <w:p w:rsidR="0003277E" w:rsidRPr="00C57690" w:rsidRDefault="0003277E" w:rsidP="00906149">
            <w:pPr>
              <w:spacing w:after="0" w:line="240" w:lineRule="auto"/>
              <w:rPr>
                <w:rFonts w:ascii="Century Gothic" w:hAnsi="Century Gothic"/>
                <w:bCs/>
                <w:sz w:val="20"/>
                <w:szCs w:val="20"/>
                <w:lang w:val="en-GB"/>
              </w:rPr>
            </w:pPr>
            <w:r w:rsidRPr="00C57690">
              <w:rPr>
                <w:rFonts w:ascii="Century Gothic" w:hAnsi="Century Gothic"/>
                <w:bCs/>
                <w:sz w:val="20"/>
                <w:szCs w:val="20"/>
                <w:lang w:val="en-GB"/>
              </w:rPr>
              <w:t>DIRECT ECONOMIC VALUE GENERATED AND DISTRIBUTED</w:t>
            </w:r>
          </w:p>
          <w:p w:rsidR="0003277E" w:rsidRPr="00C57690" w:rsidRDefault="0003277E" w:rsidP="00906149">
            <w:pPr>
              <w:spacing w:after="0" w:line="240" w:lineRule="auto"/>
              <w:rPr>
                <w:rFonts w:ascii="Century Gothic" w:hAnsi="Century Gothic"/>
                <w:bCs/>
                <w:sz w:val="20"/>
                <w:szCs w:val="20"/>
                <w:lang w:val="en-GB"/>
              </w:rPr>
            </w:pPr>
          </w:p>
          <w:p w:rsidR="0003277E" w:rsidRPr="00C57690" w:rsidRDefault="0003277E" w:rsidP="00906149">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FINANCIAL ASSSISTANCE RECEIVED BY GOVERNMENT</w:t>
            </w:r>
          </w:p>
        </w:tc>
        <w:tc>
          <w:tcPr>
            <w:tcW w:w="2288" w:type="pct"/>
            <w:tcBorders>
              <w:top w:val="nil"/>
              <w:left w:val="nil"/>
              <w:bottom w:val="single" w:sz="4" w:space="0" w:color="auto"/>
              <w:right w:val="single" w:sz="4" w:space="0" w:color="auto"/>
            </w:tcBorders>
            <w:shd w:val="clear" w:color="auto" w:fill="DBE5F1"/>
          </w:tcPr>
          <w:p w:rsidR="0003277E" w:rsidRPr="00C57690" w:rsidRDefault="0003277E" w:rsidP="0003277E">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G4-ECI</w:t>
            </w:r>
          </w:p>
          <w:p w:rsidR="00666B02" w:rsidRPr="00C57690" w:rsidRDefault="0003277E" w:rsidP="00B656D5">
            <w:pPr>
              <w:pStyle w:val="Default"/>
              <w:numPr>
                <w:ilvl w:val="0"/>
                <w:numId w:val="16"/>
              </w:numPr>
              <w:rPr>
                <w:rFonts w:ascii="Century Gothic" w:hAnsi="Century Gothic"/>
                <w:b/>
                <w:bCs/>
                <w:color w:val="auto"/>
                <w:sz w:val="20"/>
                <w:szCs w:val="20"/>
              </w:rPr>
            </w:pPr>
            <w:r w:rsidRPr="00C57690">
              <w:rPr>
                <w:rFonts w:ascii="Century Gothic" w:hAnsi="Century Gothic"/>
                <w:color w:val="auto"/>
                <w:sz w:val="20"/>
                <w:szCs w:val="20"/>
              </w:rPr>
              <w:t xml:space="preserve">Report the direct economic value generated and distributed (EVG&amp;D) on an accruals basis including the basic components for the organization’s global operations as listed below. If data is presented on a cash basis, report the justification for this decision and report the basic components as listed Economic value retained  </w:t>
            </w:r>
          </w:p>
          <w:p w:rsidR="0003277E" w:rsidRPr="00C57690" w:rsidRDefault="0003277E"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G4-EC4</w:t>
            </w:r>
          </w:p>
          <w:p w:rsidR="0003277E" w:rsidRPr="00C57690" w:rsidRDefault="0003277E" w:rsidP="0003277E">
            <w:pPr>
              <w:pStyle w:val="Default"/>
              <w:numPr>
                <w:ilvl w:val="0"/>
                <w:numId w:val="24"/>
              </w:numPr>
              <w:rPr>
                <w:rFonts w:ascii="Century Gothic" w:eastAsia="Times New Roman" w:hAnsi="Century Gothic" w:cs="Angsana New"/>
                <w:color w:val="auto"/>
                <w:sz w:val="20"/>
                <w:szCs w:val="20"/>
                <w:lang w:eastAsia="en-GB"/>
              </w:rPr>
            </w:pPr>
            <w:r w:rsidRPr="00C57690">
              <w:rPr>
                <w:rFonts w:ascii="Century Gothic" w:hAnsi="Century Gothic"/>
                <w:color w:val="auto"/>
                <w:sz w:val="20"/>
                <w:szCs w:val="20"/>
              </w:rPr>
              <w:t>A. Report the total monetary value of financial assistance received by the organization from governments during the reporting period, b. Report the information above by country. c. Report whether, and the extent to which, the government is present in the shareholding structure.</w:t>
            </w:r>
          </w:p>
        </w:tc>
      </w:tr>
      <w:tr w:rsidR="00C87A25" w:rsidRPr="00C87A25" w:rsidTr="00C87A25">
        <w:trPr>
          <w:trHeight w:val="552"/>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3</w:t>
            </w:r>
          </w:p>
        </w:tc>
        <w:tc>
          <w:tcPr>
            <w:tcW w:w="1137" w:type="pct"/>
            <w:tcBorders>
              <w:top w:val="nil"/>
              <w:left w:val="nil"/>
              <w:bottom w:val="single" w:sz="4" w:space="0" w:color="auto"/>
              <w:right w:val="single" w:sz="4" w:space="0" w:color="auto"/>
            </w:tcBorders>
            <w:shd w:val="clear" w:color="auto" w:fill="DBE5F1"/>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Percentage of total investment to total depreciation</w:t>
            </w:r>
          </w:p>
        </w:tc>
        <w:tc>
          <w:tcPr>
            <w:tcW w:w="1099" w:type="pct"/>
            <w:tcBorders>
              <w:top w:val="nil"/>
              <w:left w:val="nil"/>
              <w:bottom w:val="single" w:sz="4" w:space="0" w:color="auto"/>
              <w:right w:val="single" w:sz="4" w:space="0" w:color="auto"/>
            </w:tcBorders>
            <w:shd w:val="clear" w:color="auto" w:fill="DBE5F1"/>
          </w:tcPr>
          <w:p w:rsidR="00C87A25" w:rsidRPr="00C57690" w:rsidRDefault="00C87A25" w:rsidP="00774B70">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DBE5F1"/>
          </w:tcPr>
          <w:p w:rsidR="00C87A25" w:rsidRPr="00C57690"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57690" w:rsidTr="00C87A25">
        <w:trPr>
          <w:trHeight w:val="493"/>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4</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Overall cost/km</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C604A8" w:rsidRPr="00C87A25" w:rsidTr="00C87A25">
        <w:trPr>
          <w:trHeight w:val="234"/>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C604A8" w:rsidRPr="00C57690" w:rsidRDefault="00C604A8"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5</w:t>
            </w:r>
          </w:p>
        </w:tc>
        <w:tc>
          <w:tcPr>
            <w:tcW w:w="1137" w:type="pct"/>
            <w:tcBorders>
              <w:top w:val="nil"/>
              <w:left w:val="nil"/>
              <w:bottom w:val="single" w:sz="4" w:space="0" w:color="auto"/>
              <w:right w:val="single" w:sz="4" w:space="0" w:color="auto"/>
            </w:tcBorders>
            <w:shd w:val="clear" w:color="auto" w:fill="DBE5F1"/>
            <w:vAlign w:val="center"/>
            <w:hideMark/>
          </w:tcPr>
          <w:p w:rsidR="00C604A8" w:rsidRPr="00C57690" w:rsidRDefault="00C604A8"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 xml:space="preserve">Percentage of development of revenues from operations </w:t>
            </w:r>
          </w:p>
        </w:tc>
        <w:tc>
          <w:tcPr>
            <w:tcW w:w="1099" w:type="pct"/>
            <w:tcBorders>
              <w:top w:val="nil"/>
              <w:left w:val="nil"/>
              <w:bottom w:val="single" w:sz="4" w:space="0" w:color="auto"/>
              <w:right w:val="single" w:sz="4" w:space="0" w:color="auto"/>
            </w:tcBorders>
            <w:shd w:val="clear" w:color="auto" w:fill="DBE5F1"/>
          </w:tcPr>
          <w:p w:rsidR="00C604A8" w:rsidRPr="00C57690" w:rsidRDefault="00C604A8"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ECONOMIC PERFORMANCE</w:t>
            </w:r>
          </w:p>
          <w:p w:rsidR="00C604A8" w:rsidRPr="00C57690" w:rsidRDefault="00C604A8" w:rsidP="00B656D5">
            <w:pPr>
              <w:spacing w:after="0" w:line="240" w:lineRule="auto"/>
              <w:rPr>
                <w:rFonts w:ascii="Century Gothic" w:hAnsi="Century Gothic"/>
                <w:bCs/>
                <w:sz w:val="20"/>
                <w:szCs w:val="20"/>
                <w:lang w:val="en-GB"/>
              </w:rPr>
            </w:pPr>
            <w:r w:rsidRPr="00C57690">
              <w:rPr>
                <w:rFonts w:ascii="Century Gothic" w:hAnsi="Century Gothic"/>
                <w:bCs/>
                <w:sz w:val="20"/>
                <w:szCs w:val="20"/>
                <w:lang w:val="en-GB"/>
              </w:rPr>
              <w:t>DIRECT ECONOMIC VALUE GENERATED AND DISTRIBUTED</w:t>
            </w:r>
          </w:p>
          <w:p w:rsidR="00C604A8" w:rsidRPr="00C57690" w:rsidRDefault="00C604A8" w:rsidP="00B656D5">
            <w:pPr>
              <w:spacing w:after="0" w:line="240" w:lineRule="auto"/>
              <w:rPr>
                <w:rFonts w:ascii="Century Gothic" w:hAnsi="Century Gothic"/>
                <w:bCs/>
                <w:sz w:val="20"/>
                <w:szCs w:val="20"/>
                <w:lang w:val="en-GB"/>
              </w:rPr>
            </w:pPr>
          </w:p>
          <w:p w:rsidR="00C604A8" w:rsidRPr="00C57690" w:rsidRDefault="00C604A8" w:rsidP="00B656D5">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DBE5F1"/>
          </w:tcPr>
          <w:p w:rsidR="00C604A8" w:rsidRPr="00C57690" w:rsidRDefault="00C604A8"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G4-ECI</w:t>
            </w:r>
          </w:p>
          <w:p w:rsidR="00C604A8" w:rsidRPr="00C57690" w:rsidRDefault="00C604A8" w:rsidP="00C604A8">
            <w:pPr>
              <w:pStyle w:val="Default"/>
              <w:numPr>
                <w:ilvl w:val="0"/>
                <w:numId w:val="16"/>
              </w:numPr>
              <w:rPr>
                <w:rFonts w:ascii="Century Gothic" w:hAnsi="Century Gothic"/>
                <w:b/>
                <w:bCs/>
                <w:color w:val="auto"/>
                <w:sz w:val="20"/>
                <w:szCs w:val="20"/>
              </w:rPr>
            </w:pPr>
            <w:r w:rsidRPr="00C57690">
              <w:rPr>
                <w:rFonts w:ascii="Century Gothic" w:hAnsi="Century Gothic"/>
                <w:color w:val="auto"/>
                <w:sz w:val="20"/>
                <w:szCs w:val="20"/>
              </w:rPr>
              <w:t xml:space="preserve">Report the direct economic value generated and distributed (EVG&amp;D) on an accruals basis including the basic components for the organization’s global operations as listed below. If data is presented on a cash basis, report </w:t>
            </w:r>
            <w:r w:rsidRPr="00C57690">
              <w:rPr>
                <w:rFonts w:ascii="Century Gothic" w:hAnsi="Century Gothic"/>
                <w:color w:val="auto"/>
                <w:sz w:val="20"/>
                <w:szCs w:val="20"/>
              </w:rPr>
              <w:lastRenderedPageBreak/>
              <w:t>the justification for this decision and report the basic components as</w:t>
            </w:r>
            <w:r w:rsidR="003345DF">
              <w:rPr>
                <w:rFonts w:ascii="Century Gothic" w:hAnsi="Century Gothic"/>
                <w:color w:val="auto"/>
                <w:sz w:val="20"/>
                <w:szCs w:val="20"/>
              </w:rPr>
              <w:t xml:space="preserve"> listed Economic value retained</w:t>
            </w:r>
            <w:r w:rsidRPr="00C57690">
              <w:rPr>
                <w:rFonts w:ascii="Century Gothic" w:hAnsi="Century Gothic"/>
                <w:color w:val="auto"/>
                <w:sz w:val="20"/>
                <w:szCs w:val="20"/>
              </w:rPr>
              <w:t>.</w:t>
            </w:r>
          </w:p>
        </w:tc>
      </w:tr>
      <w:tr w:rsidR="00666B02" w:rsidRPr="00C57690" w:rsidTr="00C87A25">
        <w:trPr>
          <w:trHeight w:val="483"/>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Eco 6</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Overall cost recovery ratio</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268"/>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7</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Modal split of public transport in served area</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866"/>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8</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Annual capital investments in public transport improvement or improved efficiency measures</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468"/>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9</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Average age of vehicle fleet</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57"/>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57690" w:rsidTr="00C87A25">
        <w:trPr>
          <w:trHeight w:val="462"/>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10</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Average commercial speed</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577"/>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11</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Produced seat-kilometres per operations employee</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C604A8" w:rsidRPr="00C87A25" w:rsidTr="00C87A25">
        <w:trPr>
          <w:trHeight w:val="839"/>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C604A8" w:rsidRPr="00C57690" w:rsidRDefault="00C604A8"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12</w:t>
            </w:r>
          </w:p>
        </w:tc>
        <w:tc>
          <w:tcPr>
            <w:tcW w:w="1137" w:type="pct"/>
            <w:tcBorders>
              <w:top w:val="nil"/>
              <w:left w:val="nil"/>
              <w:bottom w:val="single" w:sz="4" w:space="0" w:color="auto"/>
              <w:right w:val="single" w:sz="4" w:space="0" w:color="auto"/>
            </w:tcBorders>
            <w:shd w:val="clear" w:color="auto" w:fill="DBE5F1"/>
            <w:vAlign w:val="center"/>
            <w:hideMark/>
          </w:tcPr>
          <w:p w:rsidR="00C604A8" w:rsidRPr="00C57690" w:rsidRDefault="00C604A8"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Incorporation of sustainable development in purchasing and investment processes</w:t>
            </w:r>
          </w:p>
        </w:tc>
        <w:tc>
          <w:tcPr>
            <w:tcW w:w="1099" w:type="pct"/>
            <w:tcBorders>
              <w:top w:val="nil"/>
              <w:left w:val="nil"/>
              <w:bottom w:val="single" w:sz="4" w:space="0" w:color="auto"/>
              <w:right w:val="single" w:sz="4" w:space="0" w:color="auto"/>
            </w:tcBorders>
            <w:shd w:val="clear" w:color="auto" w:fill="DBE5F1"/>
          </w:tcPr>
          <w:p w:rsidR="00C604A8" w:rsidRPr="00C57690" w:rsidRDefault="00C604A8"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DBE5F1"/>
          </w:tcPr>
          <w:p w:rsidR="00C604A8" w:rsidRPr="00C57690" w:rsidRDefault="00C604A8"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C87A25">
        <w:trPr>
          <w:trHeight w:val="874"/>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13</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Passengers with concession or subscription tickets compared to total number of passengers</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425"/>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14</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Separate right-of-way in network</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1000"/>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15</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Coverage rate (percentage of households and jobs well served within 500 meters from a public transport stop)</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C87A25">
        <w:trPr>
          <w:trHeight w:val="1510"/>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Eco 16</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Jobs directly and indirectly associated with the production</w:t>
            </w:r>
          </w:p>
        </w:tc>
        <w:tc>
          <w:tcPr>
            <w:tcW w:w="1099" w:type="pct"/>
            <w:tcBorders>
              <w:top w:val="nil"/>
              <w:left w:val="nil"/>
              <w:bottom w:val="single" w:sz="4" w:space="0" w:color="auto"/>
              <w:right w:val="single" w:sz="4" w:space="0" w:color="auto"/>
            </w:tcBorders>
            <w:shd w:val="clear" w:color="auto" w:fill="DBE5F1"/>
          </w:tcPr>
          <w:p w:rsidR="00C87A25" w:rsidRDefault="00C604A8" w:rsidP="00C604A8">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 xml:space="preserve">ECONOMIC </w:t>
            </w:r>
          </w:p>
          <w:p w:rsidR="00C604A8" w:rsidRPr="00C57690" w:rsidRDefault="00C604A8" w:rsidP="00C604A8">
            <w:pPr>
              <w:spacing w:after="0" w:line="240" w:lineRule="auto"/>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PERFORMANCE</w:t>
            </w:r>
          </w:p>
          <w:p w:rsidR="00C604A8" w:rsidRPr="00C87A25" w:rsidRDefault="00C604A8" w:rsidP="003345DF">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SIGNIFICANT INDIRECT ECONOMIC IMPACTS, INCLUDING THE EXTENT OF IMPACTS</w:t>
            </w:r>
          </w:p>
        </w:tc>
        <w:tc>
          <w:tcPr>
            <w:tcW w:w="2288" w:type="pct"/>
            <w:tcBorders>
              <w:top w:val="nil"/>
              <w:left w:val="nil"/>
              <w:bottom w:val="single" w:sz="4" w:space="0" w:color="auto"/>
              <w:right w:val="single" w:sz="4" w:space="0" w:color="auto"/>
            </w:tcBorders>
            <w:shd w:val="clear" w:color="auto" w:fill="DBE5F1"/>
          </w:tcPr>
          <w:p w:rsidR="00666B02" w:rsidRPr="00C57690" w:rsidRDefault="00C604A8"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G4-EC8</w:t>
            </w:r>
          </w:p>
          <w:p w:rsidR="00C604A8" w:rsidRPr="00C57690" w:rsidRDefault="00C604A8" w:rsidP="00C604A8">
            <w:pPr>
              <w:pStyle w:val="Default"/>
              <w:numPr>
                <w:ilvl w:val="0"/>
                <w:numId w:val="17"/>
              </w:numPr>
              <w:rPr>
                <w:rFonts w:ascii="Century Gothic" w:eastAsia="Times New Roman" w:hAnsi="Century Gothic" w:cs="Angsana New"/>
                <w:color w:val="auto"/>
                <w:sz w:val="20"/>
                <w:szCs w:val="20"/>
                <w:lang w:eastAsia="en-GB"/>
              </w:rPr>
            </w:pPr>
            <w:r w:rsidRPr="00C57690">
              <w:rPr>
                <w:rFonts w:ascii="Century Gothic" w:hAnsi="Century Gothic"/>
                <w:color w:val="auto"/>
                <w:sz w:val="20"/>
                <w:szCs w:val="20"/>
              </w:rPr>
              <w:t>A. Report examples of the significant identified positive and negative indirect economic impacts the organization has. b. Report the significance of the impacts in the context of external benchmarks and stakeholder priorities, such as national and international standards, protocols, and policy agendas.</w:t>
            </w:r>
          </w:p>
        </w:tc>
      </w:tr>
      <w:tr w:rsidR="00C87A25" w:rsidRPr="00C87A25" w:rsidTr="00C87A25">
        <w:trPr>
          <w:trHeight w:val="1153"/>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17</w:t>
            </w:r>
          </w:p>
        </w:tc>
        <w:tc>
          <w:tcPr>
            <w:tcW w:w="1137" w:type="pct"/>
            <w:tcBorders>
              <w:top w:val="nil"/>
              <w:left w:val="nil"/>
              <w:bottom w:val="single" w:sz="4" w:space="0" w:color="auto"/>
              <w:right w:val="single" w:sz="4" w:space="0" w:color="auto"/>
            </w:tcBorders>
            <w:shd w:val="clear" w:color="auto" w:fill="DBE5F1"/>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Are sustainable principles included in personnel evaluations and rewards/awards/bonuses of your organisation</w:t>
            </w:r>
          </w:p>
        </w:tc>
        <w:tc>
          <w:tcPr>
            <w:tcW w:w="1099" w:type="pct"/>
            <w:tcBorders>
              <w:top w:val="nil"/>
              <w:left w:val="nil"/>
              <w:bottom w:val="single" w:sz="4" w:space="0" w:color="auto"/>
              <w:right w:val="single" w:sz="4" w:space="0" w:color="auto"/>
            </w:tcBorders>
            <w:shd w:val="clear" w:color="auto" w:fill="DBE5F1"/>
          </w:tcPr>
          <w:p w:rsidR="00C87A25" w:rsidRPr="00C57690" w:rsidRDefault="00C87A25" w:rsidP="00774B70">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DBE5F1"/>
          </w:tcPr>
          <w:p w:rsidR="00C87A25" w:rsidRPr="00C57690"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C87A25">
        <w:trPr>
          <w:trHeight w:val="614"/>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18</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 xml:space="preserve">Ability to satisfy the present demand. </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C87A25" w:rsidRPr="00C87A25" w:rsidTr="00C87A25">
        <w:trPr>
          <w:trHeight w:val="823"/>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C87A25" w:rsidRPr="00C57690" w:rsidRDefault="00C87A2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19</w:t>
            </w:r>
          </w:p>
        </w:tc>
        <w:tc>
          <w:tcPr>
            <w:tcW w:w="1137" w:type="pct"/>
            <w:tcBorders>
              <w:top w:val="nil"/>
              <w:left w:val="nil"/>
              <w:bottom w:val="single" w:sz="4" w:space="0" w:color="auto"/>
              <w:right w:val="single" w:sz="4" w:space="0" w:color="auto"/>
            </w:tcBorders>
            <w:shd w:val="clear" w:color="auto" w:fill="DBE5F1"/>
            <w:vAlign w:val="center"/>
            <w:hideMark/>
          </w:tcPr>
          <w:p w:rsidR="00C87A25" w:rsidRPr="00C57690" w:rsidRDefault="00C87A2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Transparency of payments:</w:t>
            </w:r>
          </w:p>
        </w:tc>
        <w:tc>
          <w:tcPr>
            <w:tcW w:w="1099" w:type="pct"/>
            <w:tcBorders>
              <w:top w:val="nil"/>
              <w:left w:val="nil"/>
              <w:bottom w:val="single" w:sz="4" w:space="0" w:color="auto"/>
              <w:right w:val="single" w:sz="4" w:space="0" w:color="auto"/>
            </w:tcBorders>
            <w:shd w:val="clear" w:color="auto" w:fill="DBE5F1"/>
          </w:tcPr>
          <w:p w:rsidR="00C87A25" w:rsidRPr="00C57690" w:rsidRDefault="00C87A25" w:rsidP="00774B70">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8" w:type="pct"/>
            <w:tcBorders>
              <w:top w:val="nil"/>
              <w:left w:val="nil"/>
              <w:bottom w:val="single" w:sz="4" w:space="0" w:color="auto"/>
              <w:right w:val="single" w:sz="4" w:space="0" w:color="auto"/>
            </w:tcBorders>
            <w:shd w:val="clear" w:color="auto" w:fill="DBE5F1"/>
          </w:tcPr>
          <w:p w:rsidR="00C87A25" w:rsidRPr="00C57690" w:rsidRDefault="00C87A25" w:rsidP="00774B70">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57690" w:rsidTr="00C87A25">
        <w:trPr>
          <w:trHeight w:val="577"/>
        </w:trPr>
        <w:tc>
          <w:tcPr>
            <w:tcW w:w="476" w:type="pct"/>
            <w:tcBorders>
              <w:top w:val="nil"/>
              <w:left w:val="single" w:sz="4" w:space="0" w:color="auto"/>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Eco 20</w:t>
            </w:r>
          </w:p>
        </w:tc>
        <w:tc>
          <w:tcPr>
            <w:tcW w:w="1137" w:type="pct"/>
            <w:tcBorders>
              <w:top w:val="nil"/>
              <w:left w:val="nil"/>
              <w:bottom w:val="single" w:sz="4" w:space="0" w:color="auto"/>
              <w:right w:val="single" w:sz="4" w:space="0" w:color="auto"/>
            </w:tcBorders>
            <w:shd w:val="clear" w:color="auto" w:fill="DBE5F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EBIT and EBITDA data</w:t>
            </w:r>
          </w:p>
        </w:tc>
        <w:tc>
          <w:tcPr>
            <w:tcW w:w="1099" w:type="pct"/>
            <w:tcBorders>
              <w:top w:val="nil"/>
              <w:left w:val="nil"/>
              <w:bottom w:val="single" w:sz="4" w:space="0" w:color="auto"/>
              <w:right w:val="single" w:sz="4" w:space="0" w:color="auto"/>
            </w:tcBorders>
            <w:shd w:val="clear" w:color="auto" w:fill="DBE5F1"/>
          </w:tcPr>
          <w:p w:rsidR="00666B02" w:rsidRPr="00C57690" w:rsidRDefault="00666B02" w:rsidP="00C57690">
            <w:pPr>
              <w:pStyle w:val="ListParagraph"/>
              <w:spacing w:after="0" w:line="240" w:lineRule="auto"/>
              <w:ind w:left="360"/>
              <w:rPr>
                <w:rFonts w:ascii="Century Gothic" w:eastAsia="Times New Roman" w:hAnsi="Century Gothic" w:cs="Angsana New"/>
                <w:color w:val="auto"/>
                <w:lang w:val="en-GB" w:eastAsia="en-GB"/>
              </w:rPr>
            </w:pPr>
          </w:p>
        </w:tc>
        <w:tc>
          <w:tcPr>
            <w:tcW w:w="2288" w:type="pct"/>
            <w:tcBorders>
              <w:top w:val="nil"/>
              <w:left w:val="nil"/>
              <w:bottom w:val="single" w:sz="4" w:space="0" w:color="auto"/>
              <w:right w:val="single" w:sz="4" w:space="0" w:color="auto"/>
            </w:tcBorders>
            <w:shd w:val="clear" w:color="auto" w:fill="DBE5F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bl>
    <w:p w:rsidR="003345DF" w:rsidRPr="00B656D5" w:rsidRDefault="003345DF" w:rsidP="00666B02">
      <w:pPr>
        <w:autoSpaceDE w:val="0"/>
        <w:autoSpaceDN w:val="0"/>
        <w:adjustRightInd w:val="0"/>
        <w:spacing w:after="0"/>
        <w:rPr>
          <w:rFonts w:ascii="Century Gothic" w:hAnsi="Century Gothic" w:cs="Angsana New"/>
          <w:sz w:val="20"/>
          <w:szCs w:val="20"/>
          <w:lang w:val="en-GB"/>
        </w:rPr>
      </w:pPr>
    </w:p>
    <w:tbl>
      <w:tblPr>
        <w:tblW w:w="5422" w:type="pct"/>
        <w:shd w:val="clear" w:color="auto" w:fill="C0504D"/>
        <w:tblLook w:val="04A0" w:firstRow="1" w:lastRow="0" w:firstColumn="1" w:lastColumn="0" w:noHBand="0" w:noVBand="1"/>
      </w:tblPr>
      <w:tblGrid>
        <w:gridCol w:w="1389"/>
        <w:gridCol w:w="3318"/>
        <w:gridCol w:w="3208"/>
        <w:gridCol w:w="6678"/>
      </w:tblGrid>
      <w:tr w:rsidR="00666B02" w:rsidRPr="00C87A25" w:rsidTr="00B656D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8064A2"/>
            <w:vAlign w:val="center"/>
            <w:hideMark/>
          </w:tcPr>
          <w:p w:rsidR="00666B02" w:rsidRPr="00C57690" w:rsidRDefault="00666B02" w:rsidP="00B656D5">
            <w:pPr>
              <w:spacing w:after="0" w:line="240" w:lineRule="auto"/>
              <w:rPr>
                <w:rFonts w:ascii="Century Gothic" w:eastAsia="Times New Roman" w:hAnsi="Century Gothic" w:cs="Angsana New"/>
                <w:b/>
                <w:bCs/>
                <w:sz w:val="20"/>
                <w:szCs w:val="20"/>
                <w:lang w:val="en-GB" w:eastAsia="en-GB"/>
              </w:rPr>
            </w:pPr>
            <w:r w:rsidRPr="00C57690">
              <w:rPr>
                <w:rFonts w:ascii="Century Gothic" w:eastAsia="Times New Roman" w:hAnsi="Century Gothic" w:cs="Angsana New"/>
                <w:b/>
                <w:bCs/>
                <w:sz w:val="20"/>
                <w:szCs w:val="20"/>
                <w:lang w:val="en-GB" w:eastAsia="en-GB"/>
              </w:rPr>
              <w:t>UITP SUSTAIANBILITY REPORTING FRAMEWORK: ENVIRONMENTAL AND ENERGY</w:t>
            </w:r>
          </w:p>
        </w:tc>
      </w:tr>
      <w:tr w:rsidR="00AD329B" w:rsidRPr="00C57690" w:rsidTr="003345DF">
        <w:trPr>
          <w:trHeight w:val="502"/>
        </w:trPr>
        <w:tc>
          <w:tcPr>
            <w:tcW w:w="476" w:type="pct"/>
            <w:tcBorders>
              <w:top w:val="nil"/>
              <w:left w:val="single" w:sz="4" w:space="0" w:color="auto"/>
              <w:bottom w:val="single" w:sz="4" w:space="0" w:color="auto"/>
              <w:right w:val="single" w:sz="4" w:space="0" w:color="auto"/>
            </w:tcBorders>
            <w:shd w:val="clear" w:color="auto" w:fill="8064A2"/>
            <w:vAlign w:val="center"/>
            <w:hideMark/>
          </w:tcPr>
          <w:p w:rsidR="00AD329B" w:rsidRPr="00C57690" w:rsidRDefault="00AD329B"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UITP</w:t>
            </w:r>
          </w:p>
          <w:p w:rsidR="00AD329B" w:rsidRPr="00C57690" w:rsidRDefault="00AD329B"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KPI</w:t>
            </w:r>
          </w:p>
        </w:tc>
        <w:tc>
          <w:tcPr>
            <w:tcW w:w="1137" w:type="pct"/>
            <w:tcBorders>
              <w:top w:val="nil"/>
              <w:left w:val="nil"/>
              <w:bottom w:val="single" w:sz="4" w:space="0" w:color="auto"/>
              <w:right w:val="single" w:sz="4" w:space="0" w:color="auto"/>
            </w:tcBorders>
            <w:shd w:val="clear" w:color="auto" w:fill="8064A2"/>
            <w:vAlign w:val="center"/>
            <w:hideMark/>
          </w:tcPr>
          <w:p w:rsidR="00AD329B" w:rsidRPr="00C57690" w:rsidRDefault="00AD329B"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INDICATOR</w:t>
            </w:r>
          </w:p>
        </w:tc>
        <w:tc>
          <w:tcPr>
            <w:tcW w:w="1099" w:type="pct"/>
            <w:tcBorders>
              <w:top w:val="nil"/>
              <w:left w:val="nil"/>
              <w:bottom w:val="single" w:sz="4" w:space="0" w:color="auto"/>
              <w:right w:val="single" w:sz="4" w:space="0" w:color="auto"/>
            </w:tcBorders>
            <w:shd w:val="clear" w:color="auto" w:fill="8064A2"/>
            <w:vAlign w:val="center"/>
          </w:tcPr>
          <w:p w:rsidR="00AD329B" w:rsidRPr="00C57690" w:rsidRDefault="00AD329B"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GRI G4 Category</w:t>
            </w:r>
          </w:p>
        </w:tc>
        <w:tc>
          <w:tcPr>
            <w:tcW w:w="2289" w:type="pct"/>
            <w:tcBorders>
              <w:top w:val="nil"/>
              <w:left w:val="nil"/>
              <w:bottom w:val="single" w:sz="4" w:space="0" w:color="auto"/>
              <w:right w:val="single" w:sz="4" w:space="0" w:color="auto"/>
            </w:tcBorders>
            <w:shd w:val="clear" w:color="auto" w:fill="8064A2"/>
            <w:vAlign w:val="center"/>
          </w:tcPr>
          <w:p w:rsidR="00AD329B" w:rsidRPr="00C57690" w:rsidRDefault="00AD329B" w:rsidP="00B656D5">
            <w:pPr>
              <w:spacing w:after="0" w:line="240" w:lineRule="auto"/>
              <w:jc w:val="center"/>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GRI G4 Standard Disclosure</w:t>
            </w:r>
          </w:p>
        </w:tc>
      </w:tr>
      <w:tr w:rsidR="00AD329B" w:rsidRPr="00C87A25" w:rsidTr="003345DF">
        <w:trPr>
          <w:trHeight w:val="268"/>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w:t>
            </w:r>
          </w:p>
        </w:tc>
        <w:tc>
          <w:tcPr>
            <w:tcW w:w="1137" w:type="pct"/>
            <w:tcBorders>
              <w:top w:val="nil"/>
              <w:left w:val="nil"/>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Environmental Management System in operation</w:t>
            </w:r>
          </w:p>
        </w:tc>
        <w:tc>
          <w:tcPr>
            <w:tcW w:w="1099" w:type="pct"/>
            <w:tcBorders>
              <w:top w:val="nil"/>
              <w:left w:val="nil"/>
              <w:bottom w:val="single" w:sz="4" w:space="0" w:color="auto"/>
              <w:right w:val="single" w:sz="4" w:space="0" w:color="auto"/>
            </w:tcBorders>
            <w:shd w:val="clear" w:color="auto" w:fill="EEECE1"/>
          </w:tcPr>
          <w:p w:rsidR="00AD329B" w:rsidRPr="00C57690" w:rsidRDefault="00AD329B"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AD329B" w:rsidRPr="00C57690" w:rsidRDefault="00AD329B"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AD329B" w:rsidRPr="00C87A25" w:rsidTr="003345DF">
        <w:trPr>
          <w:trHeight w:val="801"/>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Env 2</w:t>
            </w:r>
          </w:p>
        </w:tc>
        <w:tc>
          <w:tcPr>
            <w:tcW w:w="1137" w:type="pct"/>
            <w:tcBorders>
              <w:top w:val="nil"/>
              <w:left w:val="nil"/>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Sites certified at international or national level</w:t>
            </w:r>
          </w:p>
        </w:tc>
        <w:tc>
          <w:tcPr>
            <w:tcW w:w="1099" w:type="pct"/>
            <w:tcBorders>
              <w:top w:val="nil"/>
              <w:left w:val="nil"/>
              <w:bottom w:val="single" w:sz="4" w:space="0" w:color="auto"/>
              <w:right w:val="single" w:sz="4" w:space="0" w:color="auto"/>
            </w:tcBorders>
            <w:shd w:val="clear" w:color="auto" w:fill="EEECE1"/>
          </w:tcPr>
          <w:p w:rsidR="00AD329B" w:rsidRPr="00C57690" w:rsidRDefault="00AD329B"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AD329B" w:rsidRPr="00C57690" w:rsidRDefault="00AD329B"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B656D5" w:rsidRPr="00C87A25" w:rsidTr="003345DF">
        <w:trPr>
          <w:trHeight w:val="622"/>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B656D5" w:rsidRPr="00C57690" w:rsidRDefault="00B656D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3</w:t>
            </w:r>
          </w:p>
        </w:tc>
        <w:tc>
          <w:tcPr>
            <w:tcW w:w="1137" w:type="pct"/>
            <w:tcBorders>
              <w:top w:val="nil"/>
              <w:left w:val="nil"/>
              <w:bottom w:val="single" w:sz="4" w:space="0" w:color="auto"/>
              <w:right w:val="single" w:sz="4" w:space="0" w:color="auto"/>
            </w:tcBorders>
            <w:shd w:val="clear" w:color="auto" w:fill="EEECE1"/>
            <w:vAlign w:val="center"/>
            <w:hideMark/>
          </w:tcPr>
          <w:p w:rsidR="00B656D5" w:rsidRPr="00C57690" w:rsidRDefault="00B656D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Total amount of operational energy use for traction per passenger-km</w:t>
            </w:r>
          </w:p>
        </w:tc>
        <w:tc>
          <w:tcPr>
            <w:tcW w:w="1099" w:type="pct"/>
            <w:tcBorders>
              <w:top w:val="nil"/>
              <w:left w:val="nil"/>
              <w:bottom w:val="single" w:sz="4" w:space="0" w:color="auto"/>
              <w:right w:val="single" w:sz="4" w:space="0" w:color="auto"/>
            </w:tcBorders>
            <w:shd w:val="clear" w:color="auto" w:fill="EEECE1"/>
          </w:tcPr>
          <w:p w:rsidR="00B656D5" w:rsidRPr="00C57690" w:rsidRDefault="00B656D5"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ENERGY</w:t>
            </w:r>
          </w:p>
          <w:p w:rsidR="00B656D5" w:rsidRPr="00C57690" w:rsidRDefault="00B656D5" w:rsidP="00B656D5">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ENERGY CONSUMPTION WITHIN THE ORGANIZATION</w:t>
            </w:r>
          </w:p>
        </w:tc>
        <w:tc>
          <w:tcPr>
            <w:tcW w:w="2289" w:type="pct"/>
            <w:tcBorders>
              <w:top w:val="nil"/>
              <w:left w:val="nil"/>
              <w:bottom w:val="single" w:sz="4" w:space="0" w:color="auto"/>
              <w:right w:val="single" w:sz="4" w:space="0" w:color="auto"/>
            </w:tcBorders>
            <w:shd w:val="clear" w:color="auto" w:fill="EEECE1"/>
          </w:tcPr>
          <w:p w:rsidR="00B656D5" w:rsidRPr="00C57690" w:rsidRDefault="00B656D5" w:rsidP="00B656D5">
            <w:pPr>
              <w:pStyle w:val="Default"/>
              <w:rPr>
                <w:rFonts w:ascii="Century Gothic" w:hAnsi="Century Gothic"/>
                <w:b/>
                <w:color w:val="auto"/>
                <w:sz w:val="20"/>
                <w:szCs w:val="20"/>
              </w:rPr>
            </w:pPr>
            <w:r w:rsidRPr="00C57690">
              <w:rPr>
                <w:rFonts w:ascii="Century Gothic" w:hAnsi="Century Gothic"/>
                <w:b/>
                <w:color w:val="auto"/>
                <w:sz w:val="20"/>
                <w:szCs w:val="20"/>
              </w:rPr>
              <w:t>G4 EN3</w:t>
            </w:r>
          </w:p>
          <w:p w:rsidR="00B656D5" w:rsidRPr="00C57690" w:rsidRDefault="00B656D5"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Report total fuel consumption from non-renewable sources in joules or multiples, including fuel types used. b. Report total fuel consumption from renewable fuel sources in joules or multiples, including fuel types used. c. Report in joules, watt-hours or multiples, the total d. Report in joules, watt-hours or multiples, the total e. Report total energy consumption in joules or multiples. f. Report standards, methodologies, and assumptions used. g. Report the source of the conversion factors used.</w:t>
            </w:r>
          </w:p>
        </w:tc>
      </w:tr>
      <w:tr w:rsidR="00B656D5" w:rsidRPr="00C87A25" w:rsidTr="003345DF">
        <w:trPr>
          <w:trHeight w:val="835"/>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B656D5" w:rsidRPr="00C57690" w:rsidRDefault="00B656D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4</w:t>
            </w:r>
          </w:p>
        </w:tc>
        <w:tc>
          <w:tcPr>
            <w:tcW w:w="1137" w:type="pct"/>
            <w:tcBorders>
              <w:top w:val="nil"/>
              <w:left w:val="nil"/>
              <w:bottom w:val="single" w:sz="4" w:space="0" w:color="auto"/>
              <w:right w:val="single" w:sz="4" w:space="0" w:color="auto"/>
            </w:tcBorders>
            <w:shd w:val="clear" w:color="auto" w:fill="EEECE1"/>
            <w:vAlign w:val="center"/>
            <w:hideMark/>
          </w:tcPr>
          <w:p w:rsidR="00B656D5" w:rsidRPr="00C57690" w:rsidRDefault="00B656D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Total amount of operational energy use for non-traction purposes</w:t>
            </w:r>
          </w:p>
        </w:tc>
        <w:tc>
          <w:tcPr>
            <w:tcW w:w="1099" w:type="pct"/>
            <w:tcBorders>
              <w:top w:val="nil"/>
              <w:left w:val="nil"/>
              <w:bottom w:val="single" w:sz="4" w:space="0" w:color="auto"/>
              <w:right w:val="single" w:sz="4" w:space="0" w:color="auto"/>
            </w:tcBorders>
            <w:shd w:val="clear" w:color="auto" w:fill="EEECE1"/>
          </w:tcPr>
          <w:p w:rsidR="00B656D5" w:rsidRPr="00C57690" w:rsidRDefault="00B656D5"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ENERGY</w:t>
            </w:r>
          </w:p>
          <w:p w:rsidR="00B656D5" w:rsidRPr="00C57690" w:rsidRDefault="00B656D5" w:rsidP="00B656D5">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ENERGY CONSUMPTION WITHIN THE ORGANIZATION</w:t>
            </w:r>
          </w:p>
        </w:tc>
        <w:tc>
          <w:tcPr>
            <w:tcW w:w="2289" w:type="pct"/>
            <w:tcBorders>
              <w:top w:val="nil"/>
              <w:left w:val="nil"/>
              <w:bottom w:val="single" w:sz="4" w:space="0" w:color="auto"/>
              <w:right w:val="single" w:sz="4" w:space="0" w:color="auto"/>
            </w:tcBorders>
            <w:shd w:val="clear" w:color="auto" w:fill="EEECE1"/>
          </w:tcPr>
          <w:p w:rsidR="00B656D5" w:rsidRPr="00C57690" w:rsidRDefault="00B656D5" w:rsidP="00B656D5">
            <w:pPr>
              <w:pStyle w:val="Default"/>
              <w:rPr>
                <w:rFonts w:ascii="Century Gothic" w:hAnsi="Century Gothic"/>
                <w:b/>
                <w:color w:val="auto"/>
                <w:sz w:val="20"/>
                <w:szCs w:val="20"/>
              </w:rPr>
            </w:pPr>
            <w:r w:rsidRPr="00C57690">
              <w:rPr>
                <w:rFonts w:ascii="Century Gothic" w:hAnsi="Century Gothic"/>
                <w:b/>
                <w:color w:val="auto"/>
                <w:sz w:val="20"/>
                <w:szCs w:val="20"/>
              </w:rPr>
              <w:t>G4 EN3</w:t>
            </w:r>
          </w:p>
          <w:p w:rsidR="00B656D5" w:rsidRPr="00C57690" w:rsidRDefault="00B656D5"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Report total fuel consumption from non-renewable sources in joules or multiples, including fuel types used. b. Report total fuel consumption from renewable fuel sources in joules or multiples, including fuel types used. c. Report in joules, watt-hours or multiples, the total d. Report in joules, watt-hours or multiples, the total e. Report total energy consumption in joules or multiples. f. Report standards, methodologies, and assumptions used. g. Report the source of the conversion factors used.</w:t>
            </w:r>
          </w:p>
        </w:tc>
      </w:tr>
      <w:tr w:rsidR="00AD329B" w:rsidRPr="00C87A25" w:rsidTr="003345DF">
        <w:trPr>
          <w:trHeight w:val="659"/>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5</w:t>
            </w:r>
          </w:p>
        </w:tc>
        <w:tc>
          <w:tcPr>
            <w:tcW w:w="1137" w:type="pct"/>
            <w:tcBorders>
              <w:top w:val="nil"/>
              <w:left w:val="nil"/>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Percentage of total renewable energy use for traction &amp; non traction</w:t>
            </w:r>
          </w:p>
        </w:tc>
        <w:tc>
          <w:tcPr>
            <w:tcW w:w="1099" w:type="pct"/>
            <w:tcBorders>
              <w:top w:val="nil"/>
              <w:left w:val="nil"/>
              <w:bottom w:val="single" w:sz="4" w:space="0" w:color="auto"/>
              <w:right w:val="single" w:sz="4" w:space="0" w:color="auto"/>
            </w:tcBorders>
            <w:shd w:val="clear" w:color="auto" w:fill="EEECE1"/>
          </w:tcPr>
          <w:p w:rsidR="00AD329B" w:rsidRPr="00C57690" w:rsidRDefault="00AD329B"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ENERGY</w:t>
            </w:r>
          </w:p>
          <w:p w:rsidR="00AD329B" w:rsidRPr="00C57690" w:rsidRDefault="00AD329B" w:rsidP="00AD329B">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ENERGY CONSUMPTION WITHIN THE ORGANIZATION</w:t>
            </w:r>
          </w:p>
        </w:tc>
        <w:tc>
          <w:tcPr>
            <w:tcW w:w="2289" w:type="pct"/>
            <w:tcBorders>
              <w:top w:val="nil"/>
              <w:left w:val="nil"/>
              <w:bottom w:val="single" w:sz="4" w:space="0" w:color="auto"/>
              <w:right w:val="single" w:sz="4" w:space="0" w:color="auto"/>
            </w:tcBorders>
            <w:shd w:val="clear" w:color="auto" w:fill="EEECE1"/>
          </w:tcPr>
          <w:p w:rsidR="00AD329B" w:rsidRPr="00C57690" w:rsidRDefault="00AD329B" w:rsidP="00B656D5">
            <w:pPr>
              <w:pStyle w:val="Default"/>
              <w:rPr>
                <w:rFonts w:ascii="Century Gothic" w:hAnsi="Century Gothic"/>
                <w:b/>
                <w:color w:val="auto"/>
                <w:sz w:val="20"/>
                <w:szCs w:val="20"/>
              </w:rPr>
            </w:pPr>
            <w:r w:rsidRPr="00C57690">
              <w:rPr>
                <w:rFonts w:ascii="Century Gothic" w:hAnsi="Century Gothic"/>
                <w:b/>
                <w:color w:val="auto"/>
                <w:sz w:val="20"/>
                <w:szCs w:val="20"/>
              </w:rPr>
              <w:t>G4 EN3</w:t>
            </w:r>
          </w:p>
          <w:p w:rsidR="00AD329B" w:rsidRPr="00C57690" w:rsidRDefault="00AD329B"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 xml:space="preserve">Report total fuel consumption from non-renewable sources in joules or multiples, including fuel types used. b. Report total fuel consumption from renewable fuel sources in joules or multiples, including fuel types used. c. Report in joules, watt-hours or multiples, the total d. Report in joules, </w:t>
            </w:r>
            <w:r w:rsidRPr="00C57690">
              <w:rPr>
                <w:rFonts w:ascii="Century Gothic" w:hAnsi="Century Gothic"/>
                <w:color w:val="auto"/>
                <w:lang w:val="en-GB"/>
              </w:rPr>
              <w:lastRenderedPageBreak/>
              <w:t>watt-hours or multiples, the total e. Report total energy consumption in joules or multiples. f. Report standards, methodologies, and assumptions used. g. Report the source of the conversion factors used.</w:t>
            </w:r>
          </w:p>
        </w:tc>
      </w:tr>
      <w:tr w:rsidR="00AD329B" w:rsidRPr="00C87A25" w:rsidTr="003345DF">
        <w:trPr>
          <w:trHeight w:val="607"/>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Env 6</w:t>
            </w:r>
          </w:p>
        </w:tc>
        <w:tc>
          <w:tcPr>
            <w:tcW w:w="1137" w:type="pct"/>
            <w:tcBorders>
              <w:top w:val="nil"/>
              <w:left w:val="nil"/>
              <w:bottom w:val="single" w:sz="4" w:space="0" w:color="auto"/>
              <w:right w:val="single" w:sz="4" w:space="0" w:color="auto"/>
            </w:tcBorders>
            <w:shd w:val="clear" w:color="auto" w:fill="EEECE1"/>
            <w:vAlign w:val="center"/>
            <w:hideMark/>
          </w:tcPr>
          <w:p w:rsidR="00AD329B" w:rsidRPr="00C57690" w:rsidRDefault="00AD329B"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Energy (kJ) used per 100 km and trend</w:t>
            </w:r>
          </w:p>
        </w:tc>
        <w:tc>
          <w:tcPr>
            <w:tcW w:w="1099" w:type="pct"/>
            <w:tcBorders>
              <w:top w:val="nil"/>
              <w:left w:val="nil"/>
              <w:bottom w:val="single" w:sz="4" w:space="0" w:color="auto"/>
              <w:right w:val="single" w:sz="4" w:space="0" w:color="auto"/>
            </w:tcBorders>
            <w:shd w:val="clear" w:color="auto" w:fill="EEECE1"/>
          </w:tcPr>
          <w:p w:rsidR="00AD329B" w:rsidRPr="00C57690" w:rsidRDefault="00AD329B"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ENERGY</w:t>
            </w:r>
          </w:p>
          <w:p w:rsidR="00AD329B" w:rsidRPr="00C57690" w:rsidRDefault="00AD329B" w:rsidP="00B656D5">
            <w:pPr>
              <w:spacing w:after="0" w:line="240" w:lineRule="auto"/>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ENERGY INTENSITY</w:t>
            </w:r>
          </w:p>
        </w:tc>
        <w:tc>
          <w:tcPr>
            <w:tcW w:w="2289" w:type="pct"/>
            <w:tcBorders>
              <w:top w:val="nil"/>
              <w:left w:val="nil"/>
              <w:bottom w:val="single" w:sz="4" w:space="0" w:color="auto"/>
              <w:right w:val="single" w:sz="4" w:space="0" w:color="auto"/>
            </w:tcBorders>
            <w:shd w:val="clear" w:color="auto" w:fill="EEECE1"/>
          </w:tcPr>
          <w:p w:rsidR="00AD329B" w:rsidRPr="00C57690" w:rsidRDefault="00AD329B"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G4-EN5</w:t>
            </w:r>
          </w:p>
          <w:p w:rsidR="00AD329B" w:rsidRPr="00C57690" w:rsidRDefault="00AD329B"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the energy intensity ratio. b. Report the organization-specific metric (the ratio denominator) chosen to calculate the ratio. c. Report the types of energy included in the intensity ratio: fuel, electricity, heating, cooling, steam, or all. d. Report whether the ratio uses energy consumed within the organization, outside of it or both.</w:t>
            </w:r>
          </w:p>
        </w:tc>
      </w:tr>
      <w:tr w:rsidR="00B656D5" w:rsidRPr="00C87A25" w:rsidTr="003345DF">
        <w:trPr>
          <w:trHeight w:val="690"/>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B656D5" w:rsidRPr="00C57690" w:rsidRDefault="00B656D5"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7</w:t>
            </w:r>
          </w:p>
        </w:tc>
        <w:tc>
          <w:tcPr>
            <w:tcW w:w="1137" w:type="pct"/>
            <w:tcBorders>
              <w:top w:val="nil"/>
              <w:left w:val="nil"/>
              <w:bottom w:val="single" w:sz="4" w:space="0" w:color="auto"/>
              <w:right w:val="single" w:sz="4" w:space="0" w:color="auto"/>
            </w:tcBorders>
            <w:shd w:val="clear" w:color="auto" w:fill="EEECE1"/>
            <w:vAlign w:val="center"/>
            <w:hideMark/>
          </w:tcPr>
          <w:p w:rsidR="00B656D5" w:rsidRPr="00C57690" w:rsidRDefault="00B656D5"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Direct CO2 emissions for operations</w:t>
            </w:r>
          </w:p>
        </w:tc>
        <w:tc>
          <w:tcPr>
            <w:tcW w:w="1099" w:type="pct"/>
            <w:tcBorders>
              <w:top w:val="nil"/>
              <w:left w:val="nil"/>
              <w:bottom w:val="single" w:sz="4" w:space="0" w:color="auto"/>
              <w:right w:val="single" w:sz="4" w:space="0" w:color="auto"/>
            </w:tcBorders>
            <w:shd w:val="clear" w:color="auto" w:fill="EEECE1"/>
          </w:tcPr>
          <w:p w:rsidR="00B656D5" w:rsidRPr="00C57690" w:rsidRDefault="00B656D5"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EMISSIONS</w:t>
            </w:r>
          </w:p>
          <w:p w:rsidR="00B656D5" w:rsidRPr="00C57690" w:rsidRDefault="00B656D5" w:rsidP="00B656D5">
            <w:pPr>
              <w:spacing w:after="0" w:line="240" w:lineRule="auto"/>
              <w:rPr>
                <w:rFonts w:ascii="Century Gothic" w:hAnsi="Century Gothic"/>
                <w:bCs/>
                <w:sz w:val="20"/>
                <w:szCs w:val="20"/>
              </w:rPr>
            </w:pPr>
            <w:r w:rsidRPr="00C57690">
              <w:rPr>
                <w:rFonts w:ascii="Century Gothic" w:hAnsi="Century Gothic"/>
                <w:bCs/>
                <w:sz w:val="20"/>
                <w:szCs w:val="20"/>
              </w:rPr>
              <w:t>DIRECT GREENHOUSE GAS (GHG) EMISSIONS (SCOPE 1)</w:t>
            </w:r>
          </w:p>
          <w:p w:rsidR="00B656D5" w:rsidRPr="00C57690" w:rsidRDefault="00B656D5" w:rsidP="00B656D5">
            <w:pPr>
              <w:spacing w:after="0" w:line="240" w:lineRule="auto"/>
              <w:rPr>
                <w:rFonts w:ascii="Century Gothic" w:hAnsi="Century Gothic"/>
                <w:bCs/>
                <w:sz w:val="20"/>
                <w:szCs w:val="20"/>
              </w:rPr>
            </w:pPr>
          </w:p>
          <w:p w:rsidR="00B656D5" w:rsidRPr="00C57690" w:rsidRDefault="00B656D5" w:rsidP="00B656D5">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INDIRECT GREENHOUSE GAS (GHG) EMISSIONS (SCOPE 2)</w:t>
            </w:r>
          </w:p>
        </w:tc>
        <w:tc>
          <w:tcPr>
            <w:tcW w:w="2289" w:type="pct"/>
            <w:tcBorders>
              <w:top w:val="nil"/>
              <w:left w:val="nil"/>
              <w:bottom w:val="single" w:sz="4" w:space="0" w:color="auto"/>
              <w:right w:val="single" w:sz="4" w:space="0" w:color="auto"/>
            </w:tcBorders>
            <w:shd w:val="clear" w:color="auto" w:fill="EEECE1"/>
          </w:tcPr>
          <w:p w:rsidR="00B656D5" w:rsidRPr="00C57690" w:rsidRDefault="00B656D5"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G4-EN15</w:t>
            </w:r>
          </w:p>
          <w:p w:rsidR="00B656D5" w:rsidRPr="00C57690" w:rsidRDefault="00B656D5" w:rsidP="00B656D5">
            <w:pPr>
              <w:pStyle w:val="ListParagraph"/>
              <w:numPr>
                <w:ilvl w:val="0"/>
                <w:numId w:val="29"/>
              </w:numPr>
              <w:spacing w:after="0" w:line="240" w:lineRule="auto"/>
              <w:rPr>
                <w:rFonts w:ascii="Century Gothic" w:hAnsi="Century Gothic"/>
                <w:color w:val="auto"/>
                <w:lang w:val="en-GB"/>
              </w:rPr>
            </w:pPr>
            <w:r w:rsidRPr="00C57690">
              <w:rPr>
                <w:rFonts w:ascii="Century Gothic" w:hAnsi="Century Gothic"/>
                <w:color w:val="auto"/>
                <w:lang w:val="en-GB"/>
              </w:rPr>
              <w:t>A. Report gross direct (Scope 1) GHG emissions in metric tons of CO</w:t>
            </w:r>
            <w:r w:rsidRPr="00C57690">
              <w:rPr>
                <w:rStyle w:val="A19"/>
                <w:rFonts w:ascii="Century Gothic" w:hAnsi="Century Gothic"/>
                <w:color w:val="auto"/>
                <w:sz w:val="20"/>
                <w:szCs w:val="20"/>
                <w:lang w:val="en-GB"/>
              </w:rPr>
              <w:t xml:space="preserve">2 </w:t>
            </w:r>
            <w:r w:rsidRPr="00C57690">
              <w:rPr>
                <w:rFonts w:ascii="Century Gothic" w:hAnsi="Century Gothic"/>
                <w:color w:val="auto"/>
                <w:lang w:val="en-GB"/>
              </w:rPr>
              <w:t>equivalent, independent of any GHG trades, such as purchases, sales, or transfers of offsets or allowances. b. Report gases included in the calculation (whether CO</w:t>
            </w:r>
            <w:r w:rsidRPr="00C57690">
              <w:rPr>
                <w:rStyle w:val="A19"/>
                <w:rFonts w:ascii="Century Gothic" w:hAnsi="Century Gothic"/>
                <w:color w:val="auto"/>
                <w:sz w:val="20"/>
                <w:szCs w:val="20"/>
                <w:lang w:val="en-GB"/>
              </w:rPr>
              <w:t>2</w:t>
            </w:r>
            <w:r w:rsidRPr="00C57690">
              <w:rPr>
                <w:rFonts w:ascii="Century Gothic" w:hAnsi="Century Gothic"/>
                <w:color w:val="auto"/>
                <w:lang w:val="en-GB"/>
              </w:rPr>
              <w:t>, CH</w:t>
            </w:r>
            <w:r w:rsidRPr="00C57690">
              <w:rPr>
                <w:rStyle w:val="A19"/>
                <w:rFonts w:ascii="Century Gothic" w:hAnsi="Century Gothic"/>
                <w:color w:val="auto"/>
                <w:sz w:val="20"/>
                <w:szCs w:val="20"/>
                <w:lang w:val="en-GB"/>
              </w:rPr>
              <w:t>4</w:t>
            </w:r>
            <w:r w:rsidRPr="00C57690">
              <w:rPr>
                <w:rFonts w:ascii="Century Gothic" w:hAnsi="Century Gothic"/>
                <w:color w:val="auto"/>
                <w:lang w:val="en-GB"/>
              </w:rPr>
              <w:t>, N</w:t>
            </w:r>
            <w:r w:rsidRPr="00C57690">
              <w:rPr>
                <w:rStyle w:val="A19"/>
                <w:rFonts w:ascii="Century Gothic" w:hAnsi="Century Gothic"/>
                <w:color w:val="auto"/>
                <w:sz w:val="20"/>
                <w:szCs w:val="20"/>
                <w:lang w:val="en-GB"/>
              </w:rPr>
              <w:t>2</w:t>
            </w:r>
            <w:r w:rsidRPr="00C57690">
              <w:rPr>
                <w:rFonts w:ascii="Century Gothic" w:hAnsi="Century Gothic"/>
                <w:color w:val="auto"/>
                <w:lang w:val="en-GB"/>
              </w:rPr>
              <w:t>O, HFCs, PFCs, SF</w:t>
            </w:r>
            <w:r w:rsidRPr="00C57690">
              <w:rPr>
                <w:rStyle w:val="A19"/>
                <w:rFonts w:ascii="Century Gothic" w:hAnsi="Century Gothic"/>
                <w:color w:val="auto"/>
                <w:sz w:val="20"/>
                <w:szCs w:val="20"/>
                <w:lang w:val="en-GB"/>
              </w:rPr>
              <w:t>6</w:t>
            </w:r>
            <w:r w:rsidRPr="00C57690">
              <w:rPr>
                <w:rFonts w:ascii="Century Gothic" w:hAnsi="Century Gothic"/>
                <w:color w:val="auto"/>
                <w:lang w:val="en-GB"/>
              </w:rPr>
              <w:t>, NF</w:t>
            </w:r>
            <w:r w:rsidRPr="00C57690">
              <w:rPr>
                <w:rStyle w:val="A19"/>
                <w:rFonts w:ascii="Century Gothic" w:hAnsi="Century Gothic"/>
                <w:color w:val="auto"/>
                <w:sz w:val="20"/>
                <w:szCs w:val="20"/>
                <w:lang w:val="en-GB"/>
              </w:rPr>
              <w:t>3</w:t>
            </w:r>
            <w:r w:rsidRPr="00C57690">
              <w:rPr>
                <w:rFonts w:ascii="Century Gothic" w:hAnsi="Century Gothic"/>
                <w:color w:val="auto"/>
                <w:lang w:val="en-GB"/>
              </w:rPr>
              <w:t>, or all). c. Report biogenic CO</w:t>
            </w:r>
            <w:r w:rsidRPr="00C57690">
              <w:rPr>
                <w:rStyle w:val="A19"/>
                <w:rFonts w:ascii="Century Gothic" w:hAnsi="Century Gothic"/>
                <w:color w:val="auto"/>
                <w:sz w:val="20"/>
                <w:szCs w:val="20"/>
                <w:lang w:val="en-GB"/>
              </w:rPr>
              <w:t xml:space="preserve">2 </w:t>
            </w:r>
            <w:r w:rsidRPr="00C57690">
              <w:rPr>
                <w:rFonts w:ascii="Century Gothic" w:hAnsi="Century Gothic"/>
                <w:color w:val="auto"/>
                <w:lang w:val="en-GB"/>
              </w:rPr>
              <w:t>emissions in metric tons of CO</w:t>
            </w:r>
            <w:r w:rsidRPr="00C57690">
              <w:rPr>
                <w:rStyle w:val="A19"/>
                <w:rFonts w:ascii="Century Gothic" w:hAnsi="Century Gothic"/>
                <w:color w:val="auto"/>
                <w:sz w:val="20"/>
                <w:szCs w:val="20"/>
                <w:lang w:val="en-GB"/>
              </w:rPr>
              <w:t xml:space="preserve">2 </w:t>
            </w:r>
            <w:r w:rsidRPr="00C57690">
              <w:rPr>
                <w:rFonts w:ascii="Century Gothic" w:hAnsi="Century Gothic"/>
                <w:color w:val="auto"/>
                <w:lang w:val="en-GB"/>
              </w:rPr>
              <w:t>equivalent separately from the gross direct (Scope 1) GHG emissions. d. Report the chosen base year, the rationale for choosing the base year, emissions in the base year, and the context for any significant changes in emissions that triggered recalculations of base year emissions. e. Report standards, methodologies, and assumptions used. f. Report the source of the emission factors used and the global warming potential (GWP) rates used or a reference to the GWP source. g. Report the chosen consolidation approach for emissions (equity share, financial control, operational control).</w:t>
            </w:r>
          </w:p>
          <w:p w:rsidR="00B656D5" w:rsidRPr="00C57690" w:rsidRDefault="00B656D5" w:rsidP="00B656D5">
            <w:pPr>
              <w:tabs>
                <w:tab w:val="left" w:pos="1380"/>
              </w:tabs>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lastRenderedPageBreak/>
              <w:t>G4-EN16</w:t>
            </w:r>
            <w:r w:rsidRPr="00C57690">
              <w:rPr>
                <w:rFonts w:ascii="Century Gothic" w:eastAsia="Times New Roman" w:hAnsi="Century Gothic" w:cs="Angsana New"/>
                <w:b/>
                <w:sz w:val="20"/>
                <w:szCs w:val="20"/>
                <w:lang w:val="en-GB" w:eastAsia="en-GB"/>
              </w:rPr>
              <w:tab/>
            </w:r>
          </w:p>
          <w:p w:rsidR="00B656D5" w:rsidRPr="00C57690" w:rsidRDefault="00B656D5" w:rsidP="00B656D5">
            <w:pPr>
              <w:pStyle w:val="ListParagraph"/>
              <w:numPr>
                <w:ilvl w:val="0"/>
                <w:numId w:val="19"/>
              </w:numPr>
              <w:tabs>
                <w:tab w:val="left" w:pos="1380"/>
              </w:tabs>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gross energy indirect (Scope 2) GHG emissions in metric tons of CO</w:t>
            </w:r>
            <w:r w:rsidRPr="00C57690">
              <w:rPr>
                <w:rStyle w:val="A19"/>
                <w:rFonts w:ascii="Century Gothic" w:hAnsi="Century Gothic"/>
                <w:color w:val="auto"/>
                <w:sz w:val="20"/>
                <w:szCs w:val="20"/>
                <w:lang w:val="en-GB"/>
              </w:rPr>
              <w:t xml:space="preserve">2 </w:t>
            </w:r>
            <w:r w:rsidRPr="00C57690">
              <w:rPr>
                <w:rFonts w:ascii="Century Gothic" w:hAnsi="Century Gothic"/>
                <w:color w:val="auto"/>
                <w:lang w:val="en-GB"/>
              </w:rPr>
              <w:t>equivalent, independent of any GHG trades, such as purchases, sales, or transfers of offsets or allowances. b. Report gases included in the calculation, if available. c. Report the chosen base year, the rationale for choosing the base year, emissions in the base year, and the context for any significant changes in emissions that triggered recalculations of base year emissions. d. Report standards, methodologies, and assumptions used. e. Report the source of the emission factors used and the global warming potential (GWP) rates used or a reference to the GWP source, if available. f. Report the chosen consolidation approach for emissions (equity share, financial control, operational control).</w:t>
            </w:r>
          </w:p>
        </w:tc>
      </w:tr>
      <w:tr w:rsidR="000C167D" w:rsidRPr="00C87A25" w:rsidTr="003345DF">
        <w:trPr>
          <w:trHeight w:val="686"/>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Env 8</w:t>
            </w:r>
          </w:p>
        </w:tc>
        <w:tc>
          <w:tcPr>
            <w:tcW w:w="1137" w:type="pct"/>
            <w:tcBorders>
              <w:top w:val="nil"/>
              <w:left w:val="nil"/>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 xml:space="preserve">CO2 emissions of energy use per passenger-km. </w:t>
            </w:r>
          </w:p>
        </w:tc>
        <w:tc>
          <w:tcPr>
            <w:tcW w:w="1099" w:type="pct"/>
            <w:tcBorders>
              <w:top w:val="nil"/>
              <w:left w:val="nil"/>
              <w:bottom w:val="single" w:sz="4" w:space="0" w:color="auto"/>
              <w:right w:val="single" w:sz="4" w:space="0" w:color="auto"/>
            </w:tcBorders>
            <w:shd w:val="clear" w:color="auto" w:fill="EEECE1"/>
          </w:tcPr>
          <w:p w:rsidR="000C167D" w:rsidRPr="00C57690" w:rsidRDefault="000C167D"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EMISSIONS</w:t>
            </w:r>
          </w:p>
          <w:p w:rsidR="000C167D" w:rsidRPr="00C57690" w:rsidRDefault="000C167D" w:rsidP="00B656D5">
            <w:pPr>
              <w:spacing w:after="0" w:line="240" w:lineRule="auto"/>
              <w:rPr>
                <w:rFonts w:ascii="Century Gothic" w:hAnsi="Century Gothic"/>
                <w:bCs/>
                <w:sz w:val="20"/>
                <w:szCs w:val="20"/>
              </w:rPr>
            </w:pPr>
            <w:r w:rsidRPr="00C57690">
              <w:rPr>
                <w:rFonts w:ascii="Century Gothic" w:hAnsi="Century Gothic"/>
                <w:bCs/>
                <w:sz w:val="20"/>
                <w:szCs w:val="20"/>
              </w:rPr>
              <w:t>DIRECT GREENHOUSE GAS (GHG) EMISSIONS (SCOPE 1)</w:t>
            </w:r>
          </w:p>
          <w:p w:rsidR="000C167D" w:rsidRPr="00C57690" w:rsidRDefault="000C167D" w:rsidP="00B656D5">
            <w:pPr>
              <w:spacing w:after="0" w:line="240" w:lineRule="auto"/>
              <w:rPr>
                <w:rFonts w:ascii="Century Gothic" w:hAnsi="Century Gothic"/>
                <w:bCs/>
                <w:sz w:val="20"/>
                <w:szCs w:val="20"/>
              </w:rPr>
            </w:pPr>
          </w:p>
          <w:p w:rsidR="000C167D" w:rsidRPr="00C57690" w:rsidRDefault="000C167D" w:rsidP="00B656D5">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INDIRECT GREENHOUSE GAS (GHG) EMISSIONS (SCOPE 2)</w:t>
            </w:r>
          </w:p>
        </w:tc>
        <w:tc>
          <w:tcPr>
            <w:tcW w:w="2289" w:type="pct"/>
            <w:tcBorders>
              <w:top w:val="nil"/>
              <w:left w:val="nil"/>
              <w:bottom w:val="single" w:sz="4" w:space="0" w:color="auto"/>
              <w:right w:val="single" w:sz="4" w:space="0" w:color="auto"/>
            </w:tcBorders>
            <w:shd w:val="clear" w:color="auto" w:fill="EEECE1"/>
          </w:tcPr>
          <w:p w:rsidR="000C167D" w:rsidRPr="00C57690" w:rsidRDefault="000C167D"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G4-EN15</w:t>
            </w:r>
          </w:p>
          <w:p w:rsidR="000C167D" w:rsidRPr="00C57690" w:rsidRDefault="00B656D5" w:rsidP="00B656D5">
            <w:pPr>
              <w:pStyle w:val="ListParagraph"/>
              <w:numPr>
                <w:ilvl w:val="0"/>
                <w:numId w:val="29"/>
              </w:numPr>
              <w:spacing w:after="0" w:line="240" w:lineRule="auto"/>
              <w:rPr>
                <w:rFonts w:ascii="Century Gothic" w:hAnsi="Century Gothic"/>
                <w:color w:val="auto"/>
                <w:lang w:val="en-GB"/>
              </w:rPr>
            </w:pPr>
            <w:r w:rsidRPr="00C57690">
              <w:rPr>
                <w:rFonts w:ascii="Century Gothic" w:hAnsi="Century Gothic"/>
                <w:color w:val="auto"/>
                <w:lang w:val="en-GB"/>
              </w:rPr>
              <w:t xml:space="preserve">A. </w:t>
            </w:r>
            <w:r w:rsidR="000C167D" w:rsidRPr="00C57690">
              <w:rPr>
                <w:rFonts w:ascii="Century Gothic" w:hAnsi="Century Gothic"/>
                <w:color w:val="auto"/>
                <w:lang w:val="en-GB"/>
              </w:rPr>
              <w:t>Report gross direct (Scope 1) GHG emissions in metric tons of CO</w:t>
            </w:r>
            <w:r w:rsidR="000C167D" w:rsidRPr="00C57690">
              <w:rPr>
                <w:rStyle w:val="A19"/>
                <w:rFonts w:ascii="Century Gothic" w:hAnsi="Century Gothic"/>
                <w:color w:val="auto"/>
                <w:sz w:val="20"/>
                <w:szCs w:val="20"/>
                <w:lang w:val="en-GB"/>
              </w:rPr>
              <w:t xml:space="preserve">2 </w:t>
            </w:r>
            <w:r w:rsidR="000C167D" w:rsidRPr="00C57690">
              <w:rPr>
                <w:rFonts w:ascii="Century Gothic" w:hAnsi="Century Gothic"/>
                <w:color w:val="auto"/>
                <w:lang w:val="en-GB"/>
              </w:rPr>
              <w:t>equivalent, independent of any GHG trades, such as purchases, sales, or transfers of offsets or allowances. b. Report gases included in the calculation (whether CO</w:t>
            </w:r>
            <w:r w:rsidR="000C167D" w:rsidRPr="00C57690">
              <w:rPr>
                <w:rStyle w:val="A19"/>
                <w:rFonts w:ascii="Century Gothic" w:hAnsi="Century Gothic"/>
                <w:color w:val="auto"/>
                <w:sz w:val="20"/>
                <w:szCs w:val="20"/>
                <w:lang w:val="en-GB"/>
              </w:rPr>
              <w:t>2</w:t>
            </w:r>
            <w:r w:rsidR="000C167D" w:rsidRPr="00C57690">
              <w:rPr>
                <w:rFonts w:ascii="Century Gothic" w:hAnsi="Century Gothic"/>
                <w:color w:val="auto"/>
                <w:lang w:val="en-GB"/>
              </w:rPr>
              <w:t>, CH</w:t>
            </w:r>
            <w:r w:rsidR="000C167D" w:rsidRPr="00C57690">
              <w:rPr>
                <w:rStyle w:val="A19"/>
                <w:rFonts w:ascii="Century Gothic" w:hAnsi="Century Gothic"/>
                <w:color w:val="auto"/>
                <w:sz w:val="20"/>
                <w:szCs w:val="20"/>
                <w:lang w:val="en-GB"/>
              </w:rPr>
              <w:t>4</w:t>
            </w:r>
            <w:r w:rsidR="000C167D" w:rsidRPr="00C57690">
              <w:rPr>
                <w:rFonts w:ascii="Century Gothic" w:hAnsi="Century Gothic"/>
                <w:color w:val="auto"/>
                <w:lang w:val="en-GB"/>
              </w:rPr>
              <w:t>, N</w:t>
            </w:r>
            <w:r w:rsidR="000C167D" w:rsidRPr="00C57690">
              <w:rPr>
                <w:rStyle w:val="A19"/>
                <w:rFonts w:ascii="Century Gothic" w:hAnsi="Century Gothic"/>
                <w:color w:val="auto"/>
                <w:sz w:val="20"/>
                <w:szCs w:val="20"/>
                <w:lang w:val="en-GB"/>
              </w:rPr>
              <w:t>2</w:t>
            </w:r>
            <w:r w:rsidR="000C167D" w:rsidRPr="00C57690">
              <w:rPr>
                <w:rFonts w:ascii="Century Gothic" w:hAnsi="Century Gothic"/>
                <w:color w:val="auto"/>
                <w:lang w:val="en-GB"/>
              </w:rPr>
              <w:t>O, HFCs, PFCs, SF</w:t>
            </w:r>
            <w:r w:rsidR="000C167D" w:rsidRPr="00C57690">
              <w:rPr>
                <w:rStyle w:val="A19"/>
                <w:rFonts w:ascii="Century Gothic" w:hAnsi="Century Gothic"/>
                <w:color w:val="auto"/>
                <w:sz w:val="20"/>
                <w:szCs w:val="20"/>
                <w:lang w:val="en-GB"/>
              </w:rPr>
              <w:t>6</w:t>
            </w:r>
            <w:r w:rsidR="000C167D" w:rsidRPr="00C57690">
              <w:rPr>
                <w:rFonts w:ascii="Century Gothic" w:hAnsi="Century Gothic"/>
                <w:color w:val="auto"/>
                <w:lang w:val="en-GB"/>
              </w:rPr>
              <w:t>, NF</w:t>
            </w:r>
            <w:r w:rsidR="000C167D" w:rsidRPr="00C57690">
              <w:rPr>
                <w:rStyle w:val="A19"/>
                <w:rFonts w:ascii="Century Gothic" w:hAnsi="Century Gothic"/>
                <w:color w:val="auto"/>
                <w:sz w:val="20"/>
                <w:szCs w:val="20"/>
                <w:lang w:val="en-GB"/>
              </w:rPr>
              <w:t>3</w:t>
            </w:r>
            <w:r w:rsidR="000C167D" w:rsidRPr="00C57690">
              <w:rPr>
                <w:rFonts w:ascii="Century Gothic" w:hAnsi="Century Gothic"/>
                <w:color w:val="auto"/>
                <w:lang w:val="en-GB"/>
              </w:rPr>
              <w:t>, or all). c. Report biogenic CO</w:t>
            </w:r>
            <w:r w:rsidR="000C167D" w:rsidRPr="00C57690">
              <w:rPr>
                <w:rStyle w:val="A19"/>
                <w:rFonts w:ascii="Century Gothic" w:hAnsi="Century Gothic"/>
                <w:color w:val="auto"/>
                <w:sz w:val="20"/>
                <w:szCs w:val="20"/>
                <w:lang w:val="en-GB"/>
              </w:rPr>
              <w:t xml:space="preserve">2 </w:t>
            </w:r>
            <w:r w:rsidR="000C167D" w:rsidRPr="00C57690">
              <w:rPr>
                <w:rFonts w:ascii="Century Gothic" w:hAnsi="Century Gothic"/>
                <w:color w:val="auto"/>
                <w:lang w:val="en-GB"/>
              </w:rPr>
              <w:t>emissions in metric tons of CO</w:t>
            </w:r>
            <w:r w:rsidR="000C167D" w:rsidRPr="00C57690">
              <w:rPr>
                <w:rStyle w:val="A19"/>
                <w:rFonts w:ascii="Century Gothic" w:hAnsi="Century Gothic"/>
                <w:color w:val="auto"/>
                <w:sz w:val="20"/>
                <w:szCs w:val="20"/>
                <w:lang w:val="en-GB"/>
              </w:rPr>
              <w:t xml:space="preserve">2 </w:t>
            </w:r>
            <w:r w:rsidR="000C167D" w:rsidRPr="00C57690">
              <w:rPr>
                <w:rFonts w:ascii="Century Gothic" w:hAnsi="Century Gothic"/>
                <w:color w:val="auto"/>
                <w:lang w:val="en-GB"/>
              </w:rPr>
              <w:t xml:space="preserve">equivalent separately from the gross direct (Scope 1) GHG emissions. d. Report the chosen base year, the rationale for choosing the base year, emissions in the base year, and the context for any significant changes in emissions that triggered recalculations of base year emissions. e. Report standards, methodologies, and assumptions used. f. Report the source of the emission factors used and the global warming potential (GWP) rates used or a reference to the </w:t>
            </w:r>
            <w:r w:rsidR="000C167D" w:rsidRPr="00C57690">
              <w:rPr>
                <w:rFonts w:ascii="Century Gothic" w:hAnsi="Century Gothic"/>
                <w:color w:val="auto"/>
                <w:lang w:val="en-GB"/>
              </w:rPr>
              <w:lastRenderedPageBreak/>
              <w:t>GWP source. g. Report the chosen consolidation approach for emissions (equity share, financial control, operational control).</w:t>
            </w:r>
          </w:p>
          <w:p w:rsidR="000C167D" w:rsidRPr="00C57690" w:rsidRDefault="000C167D" w:rsidP="00B656D5">
            <w:pPr>
              <w:tabs>
                <w:tab w:val="left" w:pos="1380"/>
              </w:tabs>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G4-EN16</w:t>
            </w:r>
            <w:r w:rsidRPr="00C57690">
              <w:rPr>
                <w:rFonts w:ascii="Century Gothic" w:eastAsia="Times New Roman" w:hAnsi="Century Gothic" w:cs="Angsana New"/>
                <w:b/>
                <w:sz w:val="20"/>
                <w:szCs w:val="20"/>
                <w:lang w:val="en-GB" w:eastAsia="en-GB"/>
              </w:rPr>
              <w:tab/>
            </w:r>
          </w:p>
          <w:p w:rsidR="000C167D" w:rsidRPr="00C57690" w:rsidRDefault="000C167D" w:rsidP="00B656D5">
            <w:pPr>
              <w:pStyle w:val="ListParagraph"/>
              <w:numPr>
                <w:ilvl w:val="0"/>
                <w:numId w:val="19"/>
              </w:numPr>
              <w:tabs>
                <w:tab w:val="left" w:pos="1380"/>
              </w:tabs>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gross energy indirect (Scope 2) GHG emissions in metric tons of CO</w:t>
            </w:r>
            <w:r w:rsidRPr="00C57690">
              <w:rPr>
                <w:rStyle w:val="A19"/>
                <w:rFonts w:ascii="Century Gothic" w:hAnsi="Century Gothic"/>
                <w:color w:val="auto"/>
                <w:sz w:val="20"/>
                <w:szCs w:val="20"/>
                <w:lang w:val="en-GB"/>
              </w:rPr>
              <w:t xml:space="preserve">2 </w:t>
            </w:r>
            <w:r w:rsidRPr="00C57690">
              <w:rPr>
                <w:rFonts w:ascii="Century Gothic" w:hAnsi="Century Gothic"/>
                <w:color w:val="auto"/>
                <w:lang w:val="en-GB"/>
              </w:rPr>
              <w:t>equivalent, independent of any GHG trades, such as purchases, sales, or transfers of offsets or allowances. b. Report gases included in the calculation, if available. c. Report the chosen base year, the rationale for choosing the base year, emissions in the base year, and the context for any significant changes in emissions that triggered recalculations of base year emissions. d. Report standards, methodologies, and assumptions used. e. Report the source of the emission factors used and the global warming potential (GWP) rates used or a reference to the GWP source, if available. f. Report the chosen consolidation approach for emissions (equity share, financial control, operational control).</w:t>
            </w:r>
          </w:p>
        </w:tc>
      </w:tr>
      <w:tr w:rsidR="00666B02" w:rsidRPr="00C87A25" w:rsidTr="003345DF">
        <w:trPr>
          <w:trHeight w:val="1107"/>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Env 9</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Percentage of fleets considered clean</w:t>
            </w:r>
          </w:p>
        </w:tc>
        <w:tc>
          <w:tcPr>
            <w:tcW w:w="1099" w:type="pct"/>
            <w:tcBorders>
              <w:top w:val="nil"/>
              <w:left w:val="nil"/>
              <w:bottom w:val="single" w:sz="4" w:space="0" w:color="auto"/>
              <w:right w:val="single" w:sz="4" w:space="0" w:color="auto"/>
            </w:tcBorders>
            <w:shd w:val="clear" w:color="auto" w:fill="EEECE1"/>
          </w:tcPr>
          <w:p w:rsidR="00666B02" w:rsidRPr="00C57690" w:rsidRDefault="00802F76" w:rsidP="00802F76">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ENERGY</w:t>
            </w:r>
          </w:p>
          <w:p w:rsidR="00802F76" w:rsidRPr="00C57690" w:rsidRDefault="00802F76" w:rsidP="00802F76">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REDUCTIONS IN ENERGY REQUIREMENTS OF PRODUCTS AND SERVICES</w:t>
            </w:r>
          </w:p>
        </w:tc>
        <w:tc>
          <w:tcPr>
            <w:tcW w:w="2289" w:type="pct"/>
            <w:tcBorders>
              <w:top w:val="nil"/>
              <w:left w:val="nil"/>
              <w:bottom w:val="single" w:sz="4" w:space="0" w:color="auto"/>
              <w:right w:val="single" w:sz="4" w:space="0" w:color="auto"/>
            </w:tcBorders>
            <w:shd w:val="clear" w:color="auto" w:fill="EEECE1"/>
          </w:tcPr>
          <w:p w:rsidR="00802F76" w:rsidRPr="00C57690" w:rsidRDefault="00802F76" w:rsidP="00802F76">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G4-EN7</w:t>
            </w:r>
          </w:p>
          <w:p w:rsidR="00666B02" w:rsidRPr="00C57690" w:rsidRDefault="00802F76" w:rsidP="00B656D5">
            <w:pPr>
              <w:pStyle w:val="ListParagraph"/>
              <w:numPr>
                <w:ilvl w:val="0"/>
                <w:numId w:val="8"/>
              </w:numPr>
              <w:spacing w:after="0" w:line="240" w:lineRule="auto"/>
              <w:ind w:left="743"/>
              <w:rPr>
                <w:rFonts w:ascii="Century Gothic" w:eastAsia="Times New Roman" w:hAnsi="Century Gothic" w:cs="Angsana New"/>
                <w:color w:val="auto"/>
                <w:lang w:val="en-GB" w:eastAsia="en-GB"/>
              </w:rPr>
            </w:pPr>
            <w:r w:rsidRPr="00C57690">
              <w:rPr>
                <w:rFonts w:ascii="Century Gothic" w:hAnsi="Century Gothic"/>
                <w:color w:val="auto"/>
                <w:lang w:val="en-GB"/>
              </w:rPr>
              <w:t>a. Report the reductions in the energy requirements of sold products and services achieved during the reporting period, in joules or multiples. b. Report the basis for calculating reductions in energy consumption such as base year or baseline, and the rationale for choosing it. c. Report standards, methodologies, and assumptions used.</w:t>
            </w:r>
          </w:p>
        </w:tc>
      </w:tr>
      <w:tr w:rsidR="000C167D" w:rsidRPr="00C87A25" w:rsidTr="003345DF">
        <w:trPr>
          <w:trHeight w:val="550"/>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10</w:t>
            </w:r>
          </w:p>
        </w:tc>
        <w:tc>
          <w:tcPr>
            <w:tcW w:w="1137" w:type="pct"/>
            <w:tcBorders>
              <w:top w:val="nil"/>
              <w:left w:val="nil"/>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Noise levels, noise monitoring and noise mapping</w:t>
            </w:r>
          </w:p>
        </w:tc>
        <w:tc>
          <w:tcPr>
            <w:tcW w:w="1099" w:type="pct"/>
            <w:tcBorders>
              <w:top w:val="nil"/>
              <w:left w:val="nil"/>
              <w:bottom w:val="single" w:sz="4" w:space="0" w:color="auto"/>
              <w:right w:val="single" w:sz="4" w:space="0" w:color="auto"/>
            </w:tcBorders>
            <w:shd w:val="clear" w:color="auto" w:fill="EEECE1"/>
          </w:tcPr>
          <w:p w:rsidR="000C167D" w:rsidRPr="00C57690" w:rsidRDefault="000C167D"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0C167D" w:rsidRPr="00C57690" w:rsidRDefault="000C167D"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0C167D" w:rsidRPr="00C87A25" w:rsidTr="003345DF">
        <w:trPr>
          <w:trHeight w:val="268"/>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Env 11</w:t>
            </w:r>
          </w:p>
        </w:tc>
        <w:tc>
          <w:tcPr>
            <w:tcW w:w="1137" w:type="pct"/>
            <w:tcBorders>
              <w:top w:val="nil"/>
              <w:left w:val="nil"/>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Air quality management</w:t>
            </w:r>
          </w:p>
        </w:tc>
        <w:tc>
          <w:tcPr>
            <w:tcW w:w="1099" w:type="pct"/>
            <w:tcBorders>
              <w:top w:val="nil"/>
              <w:left w:val="nil"/>
              <w:bottom w:val="single" w:sz="4" w:space="0" w:color="auto"/>
              <w:right w:val="single" w:sz="4" w:space="0" w:color="auto"/>
            </w:tcBorders>
            <w:shd w:val="clear" w:color="auto" w:fill="EEECE1"/>
          </w:tcPr>
          <w:p w:rsidR="000C167D" w:rsidRPr="00C57690" w:rsidRDefault="000C167D"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0C167D" w:rsidRPr="00C57690" w:rsidRDefault="000C167D"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3345DF">
        <w:trPr>
          <w:trHeight w:val="567"/>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12</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Local emissions</w:t>
            </w:r>
          </w:p>
        </w:tc>
        <w:tc>
          <w:tcPr>
            <w:tcW w:w="1099" w:type="pct"/>
            <w:tcBorders>
              <w:top w:val="nil"/>
              <w:left w:val="nil"/>
              <w:bottom w:val="single" w:sz="4" w:space="0" w:color="auto"/>
              <w:right w:val="single" w:sz="4" w:space="0" w:color="auto"/>
            </w:tcBorders>
            <w:shd w:val="clear" w:color="auto" w:fill="EEECE1"/>
          </w:tcPr>
          <w:p w:rsidR="000C167D" w:rsidRPr="00C57690" w:rsidRDefault="000C167D" w:rsidP="000C167D">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EMISSIONS</w:t>
            </w:r>
          </w:p>
          <w:p w:rsidR="000C167D" w:rsidRPr="00C57690" w:rsidRDefault="000C167D" w:rsidP="000C167D">
            <w:pPr>
              <w:spacing w:after="0" w:line="240" w:lineRule="auto"/>
              <w:rPr>
                <w:rFonts w:ascii="Century Gothic" w:eastAsia="Times New Roman" w:hAnsi="Century Gothic" w:cs="Angsana New"/>
                <w:sz w:val="20"/>
                <w:szCs w:val="20"/>
                <w:lang w:val="en-GB" w:eastAsia="en-GB"/>
              </w:rPr>
            </w:pPr>
            <w:r w:rsidRPr="00C57690">
              <w:rPr>
                <w:rFonts w:ascii="Century Gothic" w:eastAsiaTheme="minorHAnsi" w:hAnsi="Century Gothic" w:cs="Myriad Pro"/>
                <w:bCs/>
                <w:sz w:val="20"/>
                <w:szCs w:val="20"/>
                <w:lang w:val="en-GB"/>
              </w:rPr>
              <w:t>NOX, SOX, AND OTHER SIGNIFICANT AIR EMISSIONS</w:t>
            </w:r>
          </w:p>
          <w:p w:rsidR="000C167D" w:rsidRPr="00C57690" w:rsidRDefault="000C167D" w:rsidP="000C167D">
            <w:pPr>
              <w:spacing w:after="0" w:line="240" w:lineRule="auto"/>
              <w:rPr>
                <w:rFonts w:ascii="Century Gothic" w:eastAsia="Times New Roman" w:hAnsi="Century Gothic" w:cs="Angsana New"/>
                <w:sz w:val="20"/>
                <w:szCs w:val="20"/>
                <w:lang w:val="en-GB" w:eastAsia="en-GB"/>
              </w:rPr>
            </w:pPr>
          </w:p>
        </w:tc>
        <w:tc>
          <w:tcPr>
            <w:tcW w:w="2289" w:type="pct"/>
            <w:tcBorders>
              <w:top w:val="nil"/>
              <w:left w:val="nil"/>
              <w:bottom w:val="single" w:sz="4" w:space="0" w:color="auto"/>
              <w:right w:val="single" w:sz="4" w:space="0" w:color="auto"/>
            </w:tcBorders>
            <w:shd w:val="clear" w:color="auto" w:fill="EEECE1"/>
          </w:tcPr>
          <w:p w:rsidR="00666B02" w:rsidRPr="00C57690" w:rsidRDefault="000C167D"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G4-EN21</w:t>
            </w:r>
          </w:p>
          <w:p w:rsidR="000C167D" w:rsidRPr="00C57690" w:rsidRDefault="000C167D" w:rsidP="00F61B86">
            <w:pPr>
              <w:pStyle w:val="Default"/>
              <w:numPr>
                <w:ilvl w:val="0"/>
                <w:numId w:val="19"/>
              </w:numPr>
              <w:rPr>
                <w:rFonts w:ascii="Century Gothic" w:hAnsi="Century Gothic"/>
                <w:color w:val="auto"/>
                <w:sz w:val="20"/>
                <w:szCs w:val="20"/>
              </w:rPr>
            </w:pPr>
            <w:r w:rsidRPr="00C57690">
              <w:rPr>
                <w:rFonts w:ascii="Century Gothic" w:hAnsi="Century Gothic"/>
                <w:color w:val="auto"/>
                <w:sz w:val="20"/>
                <w:szCs w:val="20"/>
              </w:rPr>
              <w:t>a. Report the amount of significant air emissions, in kilograms or multiples b. Report standards, methodologies, and assumptions used. c. Report the source of the emission factors used.</w:t>
            </w:r>
          </w:p>
        </w:tc>
      </w:tr>
      <w:tr w:rsidR="00666B02" w:rsidRPr="00C87A25" w:rsidTr="003345DF">
        <w:trPr>
          <w:trHeight w:val="562"/>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13</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Percentage of fresh to recycled water use</w:t>
            </w:r>
          </w:p>
        </w:tc>
        <w:tc>
          <w:tcPr>
            <w:tcW w:w="1099" w:type="pct"/>
            <w:tcBorders>
              <w:top w:val="nil"/>
              <w:left w:val="nil"/>
              <w:bottom w:val="single" w:sz="4" w:space="0" w:color="auto"/>
              <w:right w:val="single" w:sz="4" w:space="0" w:color="auto"/>
            </w:tcBorders>
            <w:shd w:val="clear" w:color="auto" w:fill="EEECE1"/>
          </w:tcPr>
          <w:p w:rsidR="00666B02" w:rsidRPr="00C57690" w:rsidRDefault="000C167D" w:rsidP="000C167D">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WATER</w:t>
            </w:r>
          </w:p>
          <w:p w:rsidR="000C167D" w:rsidRPr="00C57690" w:rsidRDefault="000C167D" w:rsidP="000C167D">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PERCENTAGE AND TOTAL VOLUME OF WATER RECYCLED AND REUSED</w:t>
            </w:r>
          </w:p>
        </w:tc>
        <w:tc>
          <w:tcPr>
            <w:tcW w:w="2289" w:type="pct"/>
            <w:tcBorders>
              <w:top w:val="nil"/>
              <w:left w:val="nil"/>
              <w:bottom w:val="single" w:sz="4" w:space="0" w:color="auto"/>
              <w:right w:val="single" w:sz="4" w:space="0" w:color="auto"/>
            </w:tcBorders>
            <w:shd w:val="clear" w:color="auto" w:fill="EEECE1"/>
          </w:tcPr>
          <w:p w:rsidR="00666B02" w:rsidRPr="00C57690" w:rsidRDefault="000C167D"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G4-EN10</w:t>
            </w:r>
          </w:p>
          <w:p w:rsidR="000C167D" w:rsidRPr="00C57690" w:rsidRDefault="000C167D" w:rsidP="000C167D">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the total volume of water recycled and reused by the organization. b. Report the total volume of water recycled and reused as a percentage of the total water withdrawal reported under Indicator G4-EN8. c. Report standards, methodologies, and assumptions used.</w:t>
            </w:r>
          </w:p>
        </w:tc>
      </w:tr>
      <w:tr w:rsidR="00666B02" w:rsidRPr="00C87A25" w:rsidTr="003345DF">
        <w:trPr>
          <w:trHeight w:val="1285"/>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14</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Soil contamination from hazardous waste and oil spills</w:t>
            </w:r>
          </w:p>
        </w:tc>
        <w:tc>
          <w:tcPr>
            <w:tcW w:w="1099" w:type="pct"/>
            <w:tcBorders>
              <w:top w:val="nil"/>
              <w:left w:val="nil"/>
              <w:bottom w:val="single" w:sz="4" w:space="0" w:color="auto"/>
              <w:right w:val="single" w:sz="4" w:space="0" w:color="auto"/>
            </w:tcBorders>
            <w:shd w:val="clear" w:color="auto" w:fill="EEECE1"/>
          </w:tcPr>
          <w:p w:rsidR="00666B02" w:rsidRPr="00C57690" w:rsidRDefault="000C167D" w:rsidP="000C167D">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EFFLUENTS AND WASTE</w:t>
            </w:r>
          </w:p>
          <w:p w:rsidR="000C167D" w:rsidRPr="00C57690" w:rsidRDefault="001211E2" w:rsidP="000C167D">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TOTAL NUMBER AND VOLUME OF SIGNIFICANT SPILLS</w:t>
            </w:r>
          </w:p>
        </w:tc>
        <w:tc>
          <w:tcPr>
            <w:tcW w:w="2289" w:type="pct"/>
            <w:tcBorders>
              <w:top w:val="nil"/>
              <w:left w:val="nil"/>
              <w:bottom w:val="single" w:sz="4" w:space="0" w:color="auto"/>
              <w:right w:val="single" w:sz="4" w:space="0" w:color="auto"/>
            </w:tcBorders>
            <w:shd w:val="clear" w:color="auto" w:fill="EEECE1"/>
          </w:tcPr>
          <w:p w:rsidR="00666B02" w:rsidRPr="00C57690" w:rsidRDefault="001211E2"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G4-EN24</w:t>
            </w:r>
          </w:p>
          <w:p w:rsidR="001211E2" w:rsidRPr="00C57690" w:rsidRDefault="001211E2" w:rsidP="001211E2">
            <w:pPr>
              <w:pStyle w:val="Default"/>
              <w:numPr>
                <w:ilvl w:val="0"/>
                <w:numId w:val="19"/>
              </w:numPr>
              <w:rPr>
                <w:rFonts w:ascii="Century Gothic" w:hAnsi="Century Gothic"/>
                <w:color w:val="auto"/>
                <w:sz w:val="20"/>
                <w:szCs w:val="20"/>
              </w:rPr>
            </w:pPr>
            <w:r w:rsidRPr="00C57690">
              <w:rPr>
                <w:rFonts w:ascii="Century Gothic" w:hAnsi="Century Gothic"/>
                <w:color w:val="auto"/>
                <w:sz w:val="20"/>
                <w:szCs w:val="20"/>
              </w:rPr>
              <w:t>a. Report the total number and total volume of recorded significant spills. b. For spills that were reported in the organization’s financial statements, report the additional following information for each such spill c. Report the impacts of significant spills.</w:t>
            </w:r>
          </w:p>
        </w:tc>
      </w:tr>
      <w:tr w:rsidR="000C167D" w:rsidRPr="00C87A25" w:rsidTr="003345DF">
        <w:trPr>
          <w:trHeight w:val="733"/>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15</w:t>
            </w:r>
          </w:p>
        </w:tc>
        <w:tc>
          <w:tcPr>
            <w:tcW w:w="1137" w:type="pct"/>
            <w:tcBorders>
              <w:top w:val="nil"/>
              <w:left w:val="nil"/>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Waste sorting policy - percentage of total waste recycled</w:t>
            </w:r>
          </w:p>
        </w:tc>
        <w:tc>
          <w:tcPr>
            <w:tcW w:w="1099" w:type="pct"/>
            <w:tcBorders>
              <w:top w:val="nil"/>
              <w:left w:val="nil"/>
              <w:bottom w:val="single" w:sz="4" w:space="0" w:color="auto"/>
              <w:right w:val="single" w:sz="4" w:space="0" w:color="auto"/>
            </w:tcBorders>
            <w:shd w:val="clear" w:color="auto" w:fill="EEECE1"/>
          </w:tcPr>
          <w:p w:rsidR="000C167D" w:rsidRPr="00C57690" w:rsidRDefault="000C167D"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0C167D" w:rsidRPr="00C57690" w:rsidRDefault="000C167D"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F61B86" w:rsidRPr="00C87A25" w:rsidTr="003345DF">
        <w:trPr>
          <w:trHeight w:val="268"/>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F61B86" w:rsidRPr="00C57690" w:rsidRDefault="00F61B86"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16</w:t>
            </w:r>
          </w:p>
        </w:tc>
        <w:tc>
          <w:tcPr>
            <w:tcW w:w="1137" w:type="pct"/>
            <w:tcBorders>
              <w:top w:val="nil"/>
              <w:left w:val="nil"/>
              <w:bottom w:val="single" w:sz="4" w:space="0" w:color="auto"/>
              <w:right w:val="single" w:sz="4" w:space="0" w:color="auto"/>
            </w:tcBorders>
            <w:shd w:val="clear" w:color="auto" w:fill="EEECE1"/>
            <w:vAlign w:val="center"/>
            <w:hideMark/>
          </w:tcPr>
          <w:p w:rsidR="00F61B86" w:rsidRPr="00C57690" w:rsidRDefault="00F61B86"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Life cycle analysis of products</w:t>
            </w:r>
          </w:p>
        </w:tc>
        <w:tc>
          <w:tcPr>
            <w:tcW w:w="1099" w:type="pct"/>
            <w:tcBorders>
              <w:top w:val="nil"/>
              <w:left w:val="nil"/>
              <w:bottom w:val="single" w:sz="4" w:space="0" w:color="auto"/>
              <w:right w:val="single" w:sz="4" w:space="0" w:color="auto"/>
            </w:tcBorders>
            <w:shd w:val="clear" w:color="auto" w:fill="EEECE1"/>
          </w:tcPr>
          <w:p w:rsidR="00F61B86" w:rsidRPr="00C57690" w:rsidRDefault="00F61B86"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F61B86" w:rsidRPr="00C57690" w:rsidRDefault="00F61B86"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F61B86" w:rsidRPr="00C87A25" w:rsidTr="003345DF">
        <w:trPr>
          <w:trHeight w:val="783"/>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F61B86" w:rsidRPr="00C57690" w:rsidRDefault="00F61B86"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lastRenderedPageBreak/>
              <w:t>Env 17</w:t>
            </w:r>
          </w:p>
        </w:tc>
        <w:tc>
          <w:tcPr>
            <w:tcW w:w="1137" w:type="pct"/>
            <w:tcBorders>
              <w:top w:val="nil"/>
              <w:left w:val="nil"/>
              <w:bottom w:val="single" w:sz="4" w:space="0" w:color="auto"/>
              <w:right w:val="single" w:sz="4" w:space="0" w:color="auto"/>
            </w:tcBorders>
            <w:shd w:val="clear" w:color="auto" w:fill="EEECE1"/>
            <w:vAlign w:val="center"/>
            <w:hideMark/>
          </w:tcPr>
          <w:p w:rsidR="00F61B86" w:rsidRPr="00C57690" w:rsidRDefault="00F61B86"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Life cycle analysis of services</w:t>
            </w:r>
          </w:p>
        </w:tc>
        <w:tc>
          <w:tcPr>
            <w:tcW w:w="1099" w:type="pct"/>
            <w:tcBorders>
              <w:top w:val="nil"/>
              <w:left w:val="nil"/>
              <w:bottom w:val="single" w:sz="4" w:space="0" w:color="auto"/>
              <w:right w:val="single" w:sz="4" w:space="0" w:color="auto"/>
            </w:tcBorders>
            <w:shd w:val="clear" w:color="auto" w:fill="EEECE1"/>
          </w:tcPr>
          <w:p w:rsidR="00F61B86" w:rsidRPr="00C57690" w:rsidRDefault="00F61B86"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F61B86" w:rsidRPr="00C57690" w:rsidRDefault="00F61B86"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3345DF">
        <w:trPr>
          <w:trHeight w:val="943"/>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18</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Recycled or 'eco' products</w:t>
            </w:r>
          </w:p>
        </w:tc>
        <w:tc>
          <w:tcPr>
            <w:tcW w:w="1099" w:type="pct"/>
            <w:tcBorders>
              <w:top w:val="nil"/>
              <w:left w:val="nil"/>
              <w:bottom w:val="single" w:sz="4" w:space="0" w:color="auto"/>
              <w:right w:val="single" w:sz="4" w:space="0" w:color="auto"/>
            </w:tcBorders>
            <w:shd w:val="clear" w:color="auto" w:fill="EEECE1"/>
          </w:tcPr>
          <w:p w:rsidR="00666B02" w:rsidRPr="00C57690" w:rsidRDefault="001211E2" w:rsidP="001211E2">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MATERIALS</w:t>
            </w:r>
          </w:p>
          <w:p w:rsidR="001211E2" w:rsidRPr="00C57690" w:rsidRDefault="001211E2" w:rsidP="001211E2">
            <w:pPr>
              <w:spacing w:after="0" w:line="240" w:lineRule="auto"/>
              <w:rPr>
                <w:rFonts w:ascii="Century Gothic" w:eastAsia="Times New Roman" w:hAnsi="Century Gothic" w:cs="Angsana New"/>
                <w:sz w:val="20"/>
                <w:szCs w:val="20"/>
                <w:lang w:val="en-GB" w:eastAsia="en-GB"/>
              </w:rPr>
            </w:pPr>
            <w:r w:rsidRPr="00C57690">
              <w:rPr>
                <w:rFonts w:ascii="Century Gothic" w:hAnsi="Century Gothic"/>
                <w:bCs/>
                <w:sz w:val="20"/>
                <w:szCs w:val="20"/>
                <w:lang w:val="en-GB"/>
              </w:rPr>
              <w:t>PERCENTAGE OF MATERIALS USED THAT ARE RECYCLED INPUT MATERIALS</w:t>
            </w:r>
          </w:p>
        </w:tc>
        <w:tc>
          <w:tcPr>
            <w:tcW w:w="2289" w:type="pct"/>
            <w:tcBorders>
              <w:top w:val="nil"/>
              <w:left w:val="nil"/>
              <w:bottom w:val="single" w:sz="4" w:space="0" w:color="auto"/>
              <w:right w:val="single" w:sz="4" w:space="0" w:color="auto"/>
            </w:tcBorders>
            <w:shd w:val="clear" w:color="auto" w:fill="EEECE1"/>
          </w:tcPr>
          <w:p w:rsidR="00666B02" w:rsidRPr="00C57690" w:rsidRDefault="001211E2" w:rsidP="00B656D5">
            <w:pPr>
              <w:spacing w:after="0" w:line="240" w:lineRule="auto"/>
              <w:rPr>
                <w:rFonts w:ascii="Century Gothic" w:eastAsia="Times New Roman" w:hAnsi="Century Gothic" w:cs="Angsana New"/>
                <w:b/>
                <w:sz w:val="20"/>
                <w:szCs w:val="20"/>
                <w:lang w:val="en-GB" w:eastAsia="en-GB"/>
              </w:rPr>
            </w:pPr>
            <w:r w:rsidRPr="00C57690">
              <w:rPr>
                <w:rFonts w:ascii="Century Gothic" w:eastAsia="Times New Roman" w:hAnsi="Century Gothic" w:cs="Angsana New"/>
                <w:b/>
                <w:sz w:val="20"/>
                <w:szCs w:val="20"/>
                <w:lang w:val="en-GB" w:eastAsia="en-GB"/>
              </w:rPr>
              <w:t>G4-EN2</w:t>
            </w:r>
          </w:p>
          <w:p w:rsidR="001211E2" w:rsidRPr="00C57690" w:rsidRDefault="001211E2" w:rsidP="001211E2">
            <w:pPr>
              <w:pStyle w:val="ListParagraph"/>
              <w:numPr>
                <w:ilvl w:val="0"/>
                <w:numId w:val="7"/>
              </w:numPr>
              <w:spacing w:after="0" w:line="240" w:lineRule="auto"/>
              <w:rPr>
                <w:rFonts w:ascii="Century Gothic" w:eastAsia="Times New Roman" w:hAnsi="Century Gothic" w:cs="Angsana New"/>
                <w:color w:val="auto"/>
                <w:lang w:val="en-GB" w:eastAsia="en-GB"/>
              </w:rPr>
            </w:pPr>
            <w:r w:rsidRPr="00C57690">
              <w:rPr>
                <w:rFonts w:ascii="Century Gothic" w:hAnsi="Century Gothic"/>
                <w:color w:val="auto"/>
                <w:lang w:val="en-GB"/>
              </w:rPr>
              <w:t>a. Report the percentage of recycled input materials used to manufacture the organization’s primary products and services.</w:t>
            </w:r>
          </w:p>
        </w:tc>
      </w:tr>
      <w:tr w:rsidR="00666B02" w:rsidRPr="00C87A25" w:rsidTr="003345DF">
        <w:trPr>
          <w:trHeight w:val="670"/>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19</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Low or no chemical cleaning products</w:t>
            </w:r>
          </w:p>
        </w:tc>
        <w:tc>
          <w:tcPr>
            <w:tcW w:w="1099" w:type="pct"/>
            <w:tcBorders>
              <w:top w:val="nil"/>
              <w:left w:val="nil"/>
              <w:bottom w:val="single" w:sz="4" w:space="0" w:color="auto"/>
              <w:right w:val="single" w:sz="4" w:space="0" w:color="auto"/>
            </w:tcBorders>
            <w:shd w:val="clear" w:color="auto" w:fill="EEECE1"/>
          </w:tcPr>
          <w:p w:rsidR="00666B02" w:rsidRPr="00C57690" w:rsidRDefault="00666B02" w:rsidP="001211E2">
            <w:pPr>
              <w:pStyle w:val="ListParagraph"/>
              <w:spacing w:after="0" w:line="240" w:lineRule="auto"/>
              <w:ind w:left="360"/>
              <w:rPr>
                <w:rFonts w:ascii="Century Gothic" w:eastAsia="Times New Roman" w:hAnsi="Century Gothic" w:cs="Angsana New"/>
                <w:color w:val="auto"/>
                <w:lang w:val="en-GB" w:eastAsia="en-GB"/>
              </w:rPr>
            </w:pPr>
          </w:p>
        </w:tc>
        <w:tc>
          <w:tcPr>
            <w:tcW w:w="2289" w:type="pct"/>
            <w:tcBorders>
              <w:top w:val="nil"/>
              <w:left w:val="nil"/>
              <w:bottom w:val="single" w:sz="4" w:space="0" w:color="auto"/>
              <w:right w:val="single" w:sz="4" w:space="0" w:color="auto"/>
            </w:tcBorders>
            <w:shd w:val="clear" w:color="auto" w:fill="EEECE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3345DF">
        <w:trPr>
          <w:trHeight w:val="900"/>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20</w:t>
            </w:r>
          </w:p>
        </w:tc>
        <w:tc>
          <w:tcPr>
            <w:tcW w:w="1137" w:type="pct"/>
            <w:tcBorders>
              <w:top w:val="nil"/>
              <w:left w:val="nil"/>
              <w:bottom w:val="single" w:sz="4" w:space="0" w:color="auto"/>
              <w:right w:val="single" w:sz="4" w:space="0" w:color="auto"/>
            </w:tcBorders>
            <w:shd w:val="clear" w:color="auto" w:fill="EEECE1"/>
            <w:vAlign w:val="center"/>
            <w:hideMark/>
          </w:tcPr>
          <w:p w:rsidR="00666B02" w:rsidRPr="00C57690" w:rsidRDefault="00666B02"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 xml:space="preserve">Introduction of innovations with quantifiable resource saving results </w:t>
            </w:r>
          </w:p>
        </w:tc>
        <w:tc>
          <w:tcPr>
            <w:tcW w:w="1099" w:type="pct"/>
            <w:tcBorders>
              <w:top w:val="nil"/>
              <w:left w:val="nil"/>
              <w:bottom w:val="single" w:sz="4" w:space="0" w:color="auto"/>
              <w:right w:val="single" w:sz="4" w:space="0" w:color="auto"/>
            </w:tcBorders>
            <w:shd w:val="clear" w:color="auto" w:fill="EEECE1"/>
          </w:tcPr>
          <w:p w:rsidR="00666B02" w:rsidRPr="00C57690" w:rsidRDefault="00666B02" w:rsidP="00B656D5">
            <w:pPr>
              <w:pStyle w:val="ListParagraph"/>
              <w:spacing w:after="0" w:line="240" w:lineRule="auto"/>
              <w:ind w:left="360"/>
              <w:rPr>
                <w:rFonts w:ascii="Century Gothic" w:eastAsia="Times New Roman" w:hAnsi="Century Gothic" w:cs="Angsana New"/>
                <w:color w:val="auto"/>
                <w:lang w:val="en-GB" w:eastAsia="en-GB"/>
              </w:rPr>
            </w:pPr>
          </w:p>
        </w:tc>
        <w:tc>
          <w:tcPr>
            <w:tcW w:w="2289" w:type="pct"/>
            <w:tcBorders>
              <w:top w:val="nil"/>
              <w:left w:val="nil"/>
              <w:bottom w:val="single" w:sz="4" w:space="0" w:color="auto"/>
              <w:right w:val="single" w:sz="4" w:space="0" w:color="auto"/>
            </w:tcBorders>
            <w:shd w:val="clear" w:color="auto" w:fill="EEECE1"/>
          </w:tcPr>
          <w:p w:rsidR="00666B02" w:rsidRPr="00C57690" w:rsidRDefault="00666B02" w:rsidP="00B656D5">
            <w:pPr>
              <w:spacing w:after="0" w:line="240" w:lineRule="auto"/>
              <w:rPr>
                <w:rFonts w:ascii="Century Gothic" w:eastAsia="Times New Roman" w:hAnsi="Century Gothic" w:cs="Angsana New"/>
                <w:sz w:val="20"/>
                <w:szCs w:val="20"/>
                <w:lang w:val="en-GB" w:eastAsia="en-GB"/>
              </w:rPr>
            </w:pPr>
          </w:p>
        </w:tc>
      </w:tr>
      <w:tr w:rsidR="000C167D" w:rsidRPr="00C87A25" w:rsidTr="003345DF">
        <w:trPr>
          <w:trHeight w:val="782"/>
        </w:trPr>
        <w:tc>
          <w:tcPr>
            <w:tcW w:w="476" w:type="pct"/>
            <w:tcBorders>
              <w:top w:val="nil"/>
              <w:left w:val="single" w:sz="4" w:space="0" w:color="auto"/>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jc w:val="center"/>
              <w:rPr>
                <w:rFonts w:ascii="Century Gothic" w:eastAsia="Times New Roman" w:hAnsi="Century Gothic" w:cs="Angsana New"/>
                <w:sz w:val="20"/>
                <w:szCs w:val="20"/>
                <w:lang w:val="en-GB" w:eastAsia="en-GB"/>
              </w:rPr>
            </w:pPr>
            <w:r w:rsidRPr="00C57690">
              <w:rPr>
                <w:rFonts w:ascii="Century Gothic" w:eastAsia="Times New Roman" w:hAnsi="Century Gothic" w:cs="Angsana New"/>
                <w:sz w:val="20"/>
                <w:szCs w:val="20"/>
                <w:lang w:val="en-GB" w:eastAsia="en-GB"/>
              </w:rPr>
              <w:t>Env 21</w:t>
            </w:r>
          </w:p>
        </w:tc>
        <w:tc>
          <w:tcPr>
            <w:tcW w:w="1137" w:type="pct"/>
            <w:tcBorders>
              <w:top w:val="nil"/>
              <w:left w:val="nil"/>
              <w:bottom w:val="single" w:sz="4" w:space="0" w:color="auto"/>
              <w:right w:val="single" w:sz="4" w:space="0" w:color="auto"/>
            </w:tcBorders>
            <w:shd w:val="clear" w:color="auto" w:fill="EEECE1"/>
            <w:vAlign w:val="center"/>
            <w:hideMark/>
          </w:tcPr>
          <w:p w:rsidR="000C167D" w:rsidRPr="00C57690" w:rsidRDefault="000C167D" w:rsidP="00B656D5">
            <w:pPr>
              <w:spacing w:after="0" w:line="240" w:lineRule="auto"/>
              <w:rPr>
                <w:rFonts w:ascii="Century Gothic" w:hAnsi="Century Gothic" w:cs="Angsana New"/>
                <w:sz w:val="20"/>
                <w:szCs w:val="20"/>
                <w:lang w:val="en-GB"/>
              </w:rPr>
            </w:pPr>
            <w:r w:rsidRPr="00C57690">
              <w:rPr>
                <w:rFonts w:ascii="Century Gothic" w:hAnsi="Century Gothic" w:cs="Angsana New"/>
                <w:sz w:val="20"/>
                <w:szCs w:val="20"/>
                <w:lang w:val="en-GB"/>
              </w:rPr>
              <w:t>Training in eco or defensive driving</w:t>
            </w:r>
          </w:p>
        </w:tc>
        <w:tc>
          <w:tcPr>
            <w:tcW w:w="1099" w:type="pct"/>
            <w:tcBorders>
              <w:top w:val="nil"/>
              <w:left w:val="nil"/>
              <w:bottom w:val="single" w:sz="4" w:space="0" w:color="auto"/>
              <w:right w:val="single" w:sz="4" w:space="0" w:color="auto"/>
            </w:tcBorders>
            <w:shd w:val="clear" w:color="auto" w:fill="EEECE1"/>
          </w:tcPr>
          <w:p w:rsidR="000C167D" w:rsidRPr="00C57690" w:rsidRDefault="000C167D" w:rsidP="00B656D5">
            <w:pPr>
              <w:spacing w:after="0" w:line="240" w:lineRule="auto"/>
              <w:rPr>
                <w:rFonts w:ascii="Century Gothic" w:eastAsia="Times New Roman" w:hAnsi="Century Gothic" w:cs="Angsana New"/>
                <w:caps/>
                <w:sz w:val="20"/>
                <w:szCs w:val="20"/>
                <w:lang w:val="en-GB" w:eastAsia="en-GB"/>
              </w:rPr>
            </w:pPr>
            <w:r w:rsidRPr="00C57690">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EECE1"/>
          </w:tcPr>
          <w:p w:rsidR="000C167D" w:rsidRPr="00C57690" w:rsidRDefault="000C167D"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C57690">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bl>
    <w:p w:rsidR="00666B02" w:rsidRPr="00B656D5" w:rsidRDefault="00666B02" w:rsidP="00666B02">
      <w:pPr>
        <w:spacing w:after="0"/>
        <w:rPr>
          <w:rFonts w:ascii="Century Gothic" w:hAnsi="Century Gothic" w:cs="Angsana New"/>
          <w:sz w:val="20"/>
          <w:szCs w:val="20"/>
          <w:lang w:val="en-GB"/>
        </w:rPr>
      </w:pPr>
    </w:p>
    <w:tbl>
      <w:tblPr>
        <w:tblW w:w="5422" w:type="pct"/>
        <w:shd w:val="clear" w:color="auto" w:fill="9BBB59"/>
        <w:tblLayout w:type="fixed"/>
        <w:tblLook w:val="04A0" w:firstRow="1" w:lastRow="0" w:firstColumn="1" w:lastColumn="0" w:noHBand="0" w:noVBand="1"/>
      </w:tblPr>
      <w:tblGrid>
        <w:gridCol w:w="1389"/>
        <w:gridCol w:w="3318"/>
        <w:gridCol w:w="3208"/>
        <w:gridCol w:w="6678"/>
      </w:tblGrid>
      <w:tr w:rsidR="00666B02" w:rsidRPr="00C87A25" w:rsidTr="00B656D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C4BC96"/>
            <w:vAlign w:val="center"/>
            <w:hideMark/>
          </w:tcPr>
          <w:p w:rsidR="00666B02" w:rsidRPr="00B656D5" w:rsidRDefault="00666B02" w:rsidP="00B656D5">
            <w:pPr>
              <w:spacing w:after="0" w:line="240" w:lineRule="auto"/>
              <w:rPr>
                <w:rFonts w:ascii="Century Gothic" w:eastAsia="Times New Roman" w:hAnsi="Century Gothic" w:cs="Angsana New"/>
                <w:b/>
                <w:bCs/>
                <w:sz w:val="20"/>
                <w:szCs w:val="20"/>
                <w:lang w:val="en-GB" w:eastAsia="en-GB"/>
              </w:rPr>
            </w:pPr>
            <w:r w:rsidRPr="00B656D5">
              <w:rPr>
                <w:rFonts w:ascii="Century Gothic" w:eastAsia="Times New Roman" w:hAnsi="Century Gothic" w:cs="Angsana New"/>
                <w:b/>
                <w:bCs/>
                <w:sz w:val="20"/>
                <w:szCs w:val="20"/>
                <w:lang w:val="en-GB" w:eastAsia="en-GB"/>
              </w:rPr>
              <w:t>UITP SUSTAIANBILITY REPORTING FRAMEWORK: SOCIAL AND SOCIETY</w:t>
            </w:r>
          </w:p>
        </w:tc>
      </w:tr>
      <w:tr w:rsidR="00F61B86" w:rsidRPr="00B656D5" w:rsidTr="003345DF">
        <w:trPr>
          <w:trHeight w:val="615"/>
        </w:trPr>
        <w:tc>
          <w:tcPr>
            <w:tcW w:w="476" w:type="pct"/>
            <w:tcBorders>
              <w:top w:val="nil"/>
              <w:left w:val="single" w:sz="4" w:space="0" w:color="auto"/>
              <w:bottom w:val="single" w:sz="4" w:space="0" w:color="auto"/>
              <w:right w:val="single" w:sz="4" w:space="0" w:color="auto"/>
            </w:tcBorders>
            <w:shd w:val="clear" w:color="auto" w:fill="C4BC96"/>
            <w:vAlign w:val="center"/>
            <w:hideMark/>
          </w:tcPr>
          <w:p w:rsidR="00F61B86" w:rsidRPr="00B656D5" w:rsidRDefault="00F61B86" w:rsidP="00B656D5">
            <w:pPr>
              <w:spacing w:after="0" w:line="240" w:lineRule="auto"/>
              <w:jc w:val="center"/>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UITP</w:t>
            </w:r>
          </w:p>
          <w:p w:rsidR="00F61B86" w:rsidRPr="00B656D5" w:rsidRDefault="00F61B86" w:rsidP="00B656D5">
            <w:pPr>
              <w:spacing w:after="0" w:line="240" w:lineRule="auto"/>
              <w:jc w:val="center"/>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KPI</w:t>
            </w:r>
          </w:p>
        </w:tc>
        <w:tc>
          <w:tcPr>
            <w:tcW w:w="1137" w:type="pct"/>
            <w:tcBorders>
              <w:top w:val="nil"/>
              <w:left w:val="nil"/>
              <w:bottom w:val="single" w:sz="4" w:space="0" w:color="auto"/>
              <w:right w:val="single" w:sz="4" w:space="0" w:color="auto"/>
            </w:tcBorders>
            <w:shd w:val="clear" w:color="auto" w:fill="C4BC96"/>
            <w:vAlign w:val="center"/>
            <w:hideMark/>
          </w:tcPr>
          <w:p w:rsidR="00F61B86" w:rsidRPr="00B656D5" w:rsidRDefault="00F61B86" w:rsidP="00B656D5">
            <w:pPr>
              <w:spacing w:after="0" w:line="240" w:lineRule="auto"/>
              <w:jc w:val="center"/>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INDICATOR</w:t>
            </w:r>
          </w:p>
        </w:tc>
        <w:tc>
          <w:tcPr>
            <w:tcW w:w="1099" w:type="pct"/>
            <w:tcBorders>
              <w:top w:val="nil"/>
              <w:left w:val="nil"/>
              <w:bottom w:val="single" w:sz="4" w:space="0" w:color="auto"/>
              <w:right w:val="single" w:sz="4" w:space="0" w:color="auto"/>
            </w:tcBorders>
            <w:shd w:val="clear" w:color="auto" w:fill="C4BC96"/>
            <w:vAlign w:val="center"/>
          </w:tcPr>
          <w:p w:rsidR="00F61B86" w:rsidRPr="00B656D5" w:rsidRDefault="00F61B86" w:rsidP="00B656D5">
            <w:pPr>
              <w:spacing w:after="0" w:line="240" w:lineRule="auto"/>
              <w:jc w:val="center"/>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GRI G4 Category</w:t>
            </w:r>
          </w:p>
        </w:tc>
        <w:tc>
          <w:tcPr>
            <w:tcW w:w="2289" w:type="pct"/>
            <w:tcBorders>
              <w:top w:val="nil"/>
              <w:left w:val="nil"/>
              <w:bottom w:val="single" w:sz="4" w:space="0" w:color="auto"/>
              <w:right w:val="single" w:sz="4" w:space="0" w:color="auto"/>
            </w:tcBorders>
            <w:shd w:val="clear" w:color="auto" w:fill="C4BC96"/>
            <w:vAlign w:val="center"/>
          </w:tcPr>
          <w:p w:rsidR="00F61B86" w:rsidRPr="00B656D5" w:rsidRDefault="00F61B86" w:rsidP="00B656D5">
            <w:pPr>
              <w:spacing w:after="0" w:line="240" w:lineRule="auto"/>
              <w:jc w:val="center"/>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GRI G4 Standard Disclosure</w:t>
            </w:r>
          </w:p>
        </w:tc>
      </w:tr>
      <w:tr w:rsidR="00666B02" w:rsidRPr="00C87A25" w:rsidTr="003345DF">
        <w:trPr>
          <w:trHeight w:val="234"/>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Customer satisfaction (%)</w:t>
            </w:r>
          </w:p>
        </w:tc>
        <w:tc>
          <w:tcPr>
            <w:tcW w:w="1099" w:type="pct"/>
            <w:tcBorders>
              <w:top w:val="nil"/>
              <w:left w:val="nil"/>
              <w:bottom w:val="single" w:sz="4" w:space="0" w:color="auto"/>
              <w:right w:val="single" w:sz="4" w:space="0" w:color="auto"/>
            </w:tcBorders>
            <w:shd w:val="clear" w:color="auto" w:fill="E5DFEC"/>
          </w:tcPr>
          <w:p w:rsidR="00666B02" w:rsidRPr="00B656D5" w:rsidRDefault="00926B82" w:rsidP="00926B82">
            <w:pPr>
              <w:spacing w:after="0" w:line="240" w:lineRule="auto"/>
              <w:rPr>
                <w:rFonts w:ascii="Century Gothic" w:hAnsi="Century Gothic" w:cs="Angsana New"/>
                <w:b/>
                <w:bCs/>
                <w:sz w:val="20"/>
                <w:szCs w:val="20"/>
                <w:lang w:val="en-GB"/>
              </w:rPr>
            </w:pPr>
            <w:r w:rsidRPr="00B656D5">
              <w:rPr>
                <w:rFonts w:ascii="Century Gothic" w:hAnsi="Century Gothic" w:cs="Angsana New"/>
                <w:b/>
                <w:bCs/>
                <w:sz w:val="20"/>
                <w:szCs w:val="20"/>
                <w:lang w:val="en-GB"/>
              </w:rPr>
              <w:t>PRODUCT AND SERVICE LABELLING</w:t>
            </w:r>
          </w:p>
          <w:p w:rsidR="00926B82" w:rsidRPr="00B656D5" w:rsidRDefault="00A82C8D" w:rsidP="00926B82">
            <w:pPr>
              <w:spacing w:after="0" w:line="240" w:lineRule="auto"/>
              <w:rPr>
                <w:rFonts w:ascii="Century Gothic" w:hAnsi="Century Gothic" w:cs="Angsana New"/>
                <w:bCs/>
                <w:sz w:val="20"/>
                <w:szCs w:val="20"/>
                <w:lang w:val="en-GB"/>
              </w:rPr>
            </w:pPr>
            <w:r w:rsidRPr="00B656D5">
              <w:rPr>
                <w:rFonts w:ascii="Century Gothic" w:hAnsi="Century Gothic"/>
                <w:bCs/>
                <w:sz w:val="20"/>
                <w:szCs w:val="20"/>
                <w:lang w:val="en-GB"/>
              </w:rPr>
              <w:t>RESULTS OF SURVEYS MEASURING CUSTOMER SATISFACTION</w:t>
            </w:r>
          </w:p>
        </w:tc>
        <w:tc>
          <w:tcPr>
            <w:tcW w:w="2289" w:type="pct"/>
            <w:tcBorders>
              <w:top w:val="nil"/>
              <w:left w:val="nil"/>
              <w:bottom w:val="single" w:sz="4" w:space="0" w:color="auto"/>
              <w:right w:val="single" w:sz="4" w:space="0" w:color="auto"/>
            </w:tcBorders>
            <w:shd w:val="clear" w:color="auto" w:fill="E5DFEC"/>
          </w:tcPr>
          <w:p w:rsidR="00666B02" w:rsidRPr="00B656D5" w:rsidRDefault="00A82C8D"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G4-PR5</w:t>
            </w:r>
          </w:p>
          <w:p w:rsidR="00A82C8D" w:rsidRPr="00B656D5" w:rsidRDefault="00A82C8D" w:rsidP="00B656D5">
            <w:pPr>
              <w:pStyle w:val="Default"/>
              <w:numPr>
                <w:ilvl w:val="0"/>
                <w:numId w:val="19"/>
              </w:numPr>
              <w:rPr>
                <w:rFonts w:ascii="Century Gothic" w:hAnsi="Century Gothic"/>
                <w:color w:val="auto"/>
                <w:sz w:val="20"/>
                <w:szCs w:val="20"/>
              </w:rPr>
            </w:pPr>
            <w:r w:rsidRPr="00B656D5">
              <w:rPr>
                <w:rFonts w:ascii="Century Gothic" w:hAnsi="Century Gothic"/>
                <w:color w:val="auto"/>
                <w:sz w:val="20"/>
                <w:szCs w:val="20"/>
              </w:rPr>
              <w:t xml:space="preserve">Report the results or key conclusions of customer satisfaction surveys (based on statistically relevant sample sizes) conducted in the reporting period relating to information about: The organization as a whole; A major </w:t>
            </w:r>
            <w:r w:rsidRPr="00B656D5">
              <w:rPr>
                <w:rFonts w:ascii="Century Gothic" w:hAnsi="Century Gothic"/>
                <w:color w:val="auto"/>
                <w:sz w:val="20"/>
                <w:szCs w:val="20"/>
              </w:rPr>
              <w:lastRenderedPageBreak/>
              <w:t xml:space="preserve">product or service category; Significant locations of operation </w:t>
            </w:r>
          </w:p>
        </w:tc>
      </w:tr>
      <w:tr w:rsidR="00666B02" w:rsidRPr="00C87A25" w:rsidTr="003345DF">
        <w:trPr>
          <w:trHeight w:val="1159"/>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lastRenderedPageBreak/>
              <w:t>Soc 2</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Employee satisfaction (%)</w:t>
            </w:r>
          </w:p>
        </w:tc>
        <w:tc>
          <w:tcPr>
            <w:tcW w:w="1099" w:type="pct"/>
            <w:tcBorders>
              <w:top w:val="nil"/>
              <w:left w:val="nil"/>
              <w:bottom w:val="single" w:sz="4" w:space="0" w:color="auto"/>
              <w:right w:val="single" w:sz="4" w:space="0" w:color="auto"/>
            </w:tcBorders>
            <w:shd w:val="clear" w:color="auto" w:fill="E5DFEC"/>
          </w:tcPr>
          <w:p w:rsidR="00666B02" w:rsidRPr="00B656D5" w:rsidRDefault="00A82C8D" w:rsidP="00A82C8D">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 xml:space="preserve">LABOUR / MANAGEMENT RELATIONS </w:t>
            </w:r>
          </w:p>
          <w:p w:rsidR="00A82C8D" w:rsidRPr="00B656D5" w:rsidRDefault="00A82C8D" w:rsidP="00A82C8D">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MINIMUM NOTICE PERIODS REGARDING OPERATIONAL CHANGES, INCLUDING WHETHER THESE ARE SPECIFIED IN COLLECTIVE AGREEMENTS</w:t>
            </w:r>
          </w:p>
        </w:tc>
        <w:tc>
          <w:tcPr>
            <w:tcW w:w="2289" w:type="pct"/>
            <w:tcBorders>
              <w:top w:val="nil"/>
              <w:left w:val="nil"/>
              <w:bottom w:val="single" w:sz="4" w:space="0" w:color="auto"/>
              <w:right w:val="single" w:sz="4" w:space="0" w:color="auto"/>
            </w:tcBorders>
            <w:shd w:val="clear" w:color="auto" w:fill="E5DFEC"/>
          </w:tcPr>
          <w:p w:rsidR="00666B02" w:rsidRPr="00B656D5" w:rsidRDefault="00A82C8D"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G4-LA4</w:t>
            </w:r>
          </w:p>
          <w:p w:rsidR="00A82C8D" w:rsidRPr="00B656D5" w:rsidRDefault="00A82C8D" w:rsidP="00A82C8D">
            <w:pPr>
              <w:pStyle w:val="ListParagraph"/>
              <w:numPr>
                <w:ilvl w:val="0"/>
                <w:numId w:val="19"/>
              </w:numPr>
              <w:spacing w:after="0" w:line="240" w:lineRule="auto"/>
              <w:rPr>
                <w:rFonts w:ascii="Century Gothic" w:eastAsia="Times New Roman" w:hAnsi="Century Gothic" w:cs="Angsana New"/>
                <w:color w:val="auto"/>
                <w:lang w:val="en-GB" w:eastAsia="en-GB"/>
              </w:rPr>
            </w:pPr>
            <w:r w:rsidRPr="00B656D5">
              <w:rPr>
                <w:rFonts w:ascii="Century Gothic" w:hAnsi="Century Gothic"/>
                <w:color w:val="auto"/>
                <w:lang w:val="en-GB"/>
              </w:rPr>
              <w:t>a. Report the minimum number of weeks’ notice typically provided to employees and their elected representatives prior to the implementation of significant operational changes that could substantially affect them. b. For organizations with collective bargaining agreements, report whether the notice period and provisions for consultation and negotiation are specified in collective agreements.</w:t>
            </w:r>
          </w:p>
        </w:tc>
      </w:tr>
      <w:tr w:rsidR="00A82C8D" w:rsidRPr="00C87A25" w:rsidTr="003345DF">
        <w:trPr>
          <w:trHeight w:val="1034"/>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A82C8D" w:rsidRPr="00B656D5" w:rsidRDefault="00A82C8D"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3</w:t>
            </w:r>
          </w:p>
        </w:tc>
        <w:tc>
          <w:tcPr>
            <w:tcW w:w="1137" w:type="pct"/>
            <w:tcBorders>
              <w:top w:val="nil"/>
              <w:left w:val="nil"/>
              <w:bottom w:val="single" w:sz="4" w:space="0" w:color="auto"/>
              <w:right w:val="single" w:sz="4" w:space="0" w:color="auto"/>
            </w:tcBorders>
            <w:shd w:val="clear" w:color="auto" w:fill="E5DFEC"/>
            <w:vAlign w:val="center"/>
            <w:hideMark/>
          </w:tcPr>
          <w:p w:rsidR="00A82C8D" w:rsidRPr="00B656D5" w:rsidRDefault="00A82C8D"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Do you have transparent complaints and grievance procedures (for customers and employees)</w:t>
            </w:r>
          </w:p>
        </w:tc>
        <w:tc>
          <w:tcPr>
            <w:tcW w:w="1099" w:type="pct"/>
            <w:tcBorders>
              <w:top w:val="nil"/>
              <w:left w:val="nil"/>
              <w:bottom w:val="single" w:sz="4" w:space="0" w:color="auto"/>
              <w:right w:val="single" w:sz="4" w:space="0" w:color="auto"/>
            </w:tcBorders>
            <w:shd w:val="clear" w:color="auto" w:fill="E5DFEC"/>
          </w:tcPr>
          <w:p w:rsidR="00A82C8D" w:rsidRPr="00B656D5" w:rsidRDefault="00A82C8D" w:rsidP="00B656D5">
            <w:pPr>
              <w:spacing w:after="0" w:line="240" w:lineRule="auto"/>
              <w:rPr>
                <w:rFonts w:ascii="Century Gothic" w:eastAsia="Times New Roman" w:hAnsi="Century Gothic" w:cs="Angsana New"/>
                <w:caps/>
                <w:sz w:val="20"/>
                <w:szCs w:val="20"/>
                <w:lang w:val="en-GB" w:eastAsia="en-GB"/>
              </w:rPr>
            </w:pPr>
            <w:r w:rsidRPr="00B656D5">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5DFEC"/>
          </w:tcPr>
          <w:p w:rsidR="00A82C8D" w:rsidRPr="00B656D5" w:rsidRDefault="00A82C8D"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B656D5">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3345DF">
        <w:trPr>
          <w:trHeight w:val="918"/>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4</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Employee Turnover Rate</w:t>
            </w:r>
          </w:p>
        </w:tc>
        <w:tc>
          <w:tcPr>
            <w:tcW w:w="1099" w:type="pct"/>
            <w:tcBorders>
              <w:top w:val="nil"/>
              <w:left w:val="nil"/>
              <w:bottom w:val="single" w:sz="4" w:space="0" w:color="auto"/>
              <w:right w:val="single" w:sz="4" w:space="0" w:color="auto"/>
            </w:tcBorders>
            <w:shd w:val="clear" w:color="auto" w:fill="E5DFEC"/>
          </w:tcPr>
          <w:p w:rsidR="00666B02" w:rsidRPr="00B656D5" w:rsidRDefault="00A82C8D" w:rsidP="00A82C8D">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EMPLOYMENT</w:t>
            </w:r>
          </w:p>
          <w:p w:rsidR="00A82C8D" w:rsidRPr="00B656D5" w:rsidRDefault="00A82C8D" w:rsidP="00A82C8D">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TOTAL NUMBER AND RATES OF NEW EMPLOYEE HIRES AND EMPLOYEE TURNOVER BY AGE GROUP, GENDER AND REGION</w:t>
            </w:r>
          </w:p>
        </w:tc>
        <w:tc>
          <w:tcPr>
            <w:tcW w:w="2289" w:type="pct"/>
            <w:tcBorders>
              <w:top w:val="nil"/>
              <w:left w:val="nil"/>
              <w:bottom w:val="single" w:sz="4" w:space="0" w:color="auto"/>
              <w:right w:val="single" w:sz="4" w:space="0" w:color="auto"/>
            </w:tcBorders>
            <w:shd w:val="clear" w:color="auto" w:fill="E5DFEC"/>
          </w:tcPr>
          <w:p w:rsidR="00A82C8D" w:rsidRPr="00B656D5" w:rsidRDefault="00A82C8D" w:rsidP="00B656D5">
            <w:pPr>
              <w:spacing w:after="0" w:line="240" w:lineRule="auto"/>
              <w:rPr>
                <w:rFonts w:ascii="Century Gothic" w:hAnsi="Century Gothic"/>
                <w:b/>
                <w:sz w:val="20"/>
                <w:szCs w:val="20"/>
                <w:lang w:val="en-GB"/>
              </w:rPr>
            </w:pPr>
            <w:r w:rsidRPr="00B656D5">
              <w:rPr>
                <w:rFonts w:ascii="Century Gothic" w:hAnsi="Century Gothic"/>
                <w:b/>
                <w:sz w:val="20"/>
                <w:szCs w:val="20"/>
                <w:lang w:val="en-GB"/>
              </w:rPr>
              <w:t>G4-LA1</w:t>
            </w:r>
          </w:p>
          <w:p w:rsidR="00666B02" w:rsidRPr="00B656D5" w:rsidRDefault="00A82C8D" w:rsidP="00A82C8D">
            <w:pPr>
              <w:pStyle w:val="ListParagraph"/>
              <w:numPr>
                <w:ilvl w:val="0"/>
                <w:numId w:val="12"/>
              </w:numPr>
              <w:spacing w:after="0" w:line="240" w:lineRule="auto"/>
              <w:rPr>
                <w:rFonts w:ascii="Century Gothic" w:eastAsia="Times New Roman" w:hAnsi="Century Gothic" w:cs="Angsana New"/>
                <w:color w:val="auto"/>
                <w:lang w:val="en-GB" w:eastAsia="en-GB"/>
              </w:rPr>
            </w:pPr>
            <w:r w:rsidRPr="00B656D5">
              <w:rPr>
                <w:rFonts w:ascii="Century Gothic" w:hAnsi="Century Gothic"/>
                <w:color w:val="auto"/>
                <w:lang w:val="en-GB"/>
              </w:rPr>
              <w:t>a. Report the total number and rate of new employee hires during the reporting period, by age group, gender and region. b. Report the total number and rate of employee turnover during the reporting period, by age group, gender and region.</w:t>
            </w:r>
          </w:p>
        </w:tc>
      </w:tr>
      <w:tr w:rsidR="00666B02" w:rsidRPr="00C87A25" w:rsidTr="003345DF">
        <w:trPr>
          <w:trHeight w:val="977"/>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5</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Annual number of trips by public transport per resident city/town-wide (on average) compared to all motorised trips</w:t>
            </w:r>
          </w:p>
        </w:tc>
        <w:tc>
          <w:tcPr>
            <w:tcW w:w="1099" w:type="pct"/>
            <w:tcBorders>
              <w:top w:val="nil"/>
              <w:left w:val="nil"/>
              <w:bottom w:val="single" w:sz="4" w:space="0" w:color="auto"/>
              <w:right w:val="single" w:sz="4" w:space="0" w:color="auto"/>
            </w:tcBorders>
            <w:shd w:val="clear" w:color="auto" w:fill="E5DFEC"/>
          </w:tcPr>
          <w:p w:rsidR="00666B02" w:rsidRPr="00B656D5" w:rsidRDefault="00666B02" w:rsidP="00B656D5">
            <w:pPr>
              <w:pStyle w:val="ListParagraph"/>
              <w:spacing w:after="0" w:line="240" w:lineRule="auto"/>
              <w:ind w:left="360"/>
              <w:rPr>
                <w:rFonts w:ascii="Century Gothic" w:eastAsia="Times New Roman" w:hAnsi="Century Gothic" w:cs="Angsana New"/>
                <w:color w:val="auto"/>
                <w:lang w:val="en-GB" w:eastAsia="en-GB"/>
              </w:rPr>
            </w:pPr>
          </w:p>
        </w:tc>
        <w:tc>
          <w:tcPr>
            <w:tcW w:w="2289" w:type="pct"/>
            <w:tcBorders>
              <w:top w:val="nil"/>
              <w:left w:val="nil"/>
              <w:bottom w:val="single" w:sz="4" w:space="0" w:color="auto"/>
              <w:right w:val="single" w:sz="4" w:space="0" w:color="auto"/>
            </w:tcBorders>
            <w:shd w:val="clear" w:color="auto" w:fill="E5DFEC"/>
          </w:tcPr>
          <w:p w:rsidR="00666B02" w:rsidRPr="00B656D5" w:rsidRDefault="00666B02" w:rsidP="00B656D5">
            <w:pPr>
              <w:spacing w:after="0" w:line="240" w:lineRule="auto"/>
              <w:rPr>
                <w:rFonts w:ascii="Century Gothic" w:eastAsia="Times New Roman" w:hAnsi="Century Gothic" w:cs="Angsana New"/>
                <w:sz w:val="20"/>
                <w:szCs w:val="20"/>
                <w:lang w:val="en-GB" w:eastAsia="en-GB"/>
              </w:rPr>
            </w:pPr>
          </w:p>
        </w:tc>
      </w:tr>
      <w:tr w:rsidR="00666B02" w:rsidRPr="00C87A25" w:rsidTr="003345DF">
        <w:trPr>
          <w:trHeight w:val="696"/>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6</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How accessible is your network to the less abled?</w:t>
            </w:r>
          </w:p>
        </w:tc>
        <w:tc>
          <w:tcPr>
            <w:tcW w:w="1099" w:type="pct"/>
            <w:tcBorders>
              <w:top w:val="nil"/>
              <w:left w:val="nil"/>
              <w:bottom w:val="single" w:sz="4" w:space="0" w:color="auto"/>
              <w:right w:val="single" w:sz="4" w:space="0" w:color="auto"/>
            </w:tcBorders>
            <w:shd w:val="clear" w:color="auto" w:fill="E5DFEC"/>
          </w:tcPr>
          <w:p w:rsidR="00666B02" w:rsidRPr="00B656D5" w:rsidRDefault="00666B02" w:rsidP="00B656D5">
            <w:pPr>
              <w:pStyle w:val="ListParagraph"/>
              <w:spacing w:after="0" w:line="240" w:lineRule="auto"/>
              <w:ind w:left="360"/>
              <w:rPr>
                <w:rFonts w:ascii="Century Gothic" w:eastAsia="Times New Roman" w:hAnsi="Century Gothic" w:cs="Angsana New"/>
                <w:color w:val="auto"/>
                <w:lang w:val="en-GB" w:eastAsia="en-GB"/>
              </w:rPr>
            </w:pPr>
          </w:p>
        </w:tc>
        <w:tc>
          <w:tcPr>
            <w:tcW w:w="2289" w:type="pct"/>
            <w:tcBorders>
              <w:top w:val="nil"/>
              <w:left w:val="nil"/>
              <w:bottom w:val="single" w:sz="4" w:space="0" w:color="auto"/>
              <w:right w:val="single" w:sz="4" w:space="0" w:color="auto"/>
            </w:tcBorders>
            <w:shd w:val="clear" w:color="auto" w:fill="E5DFEC"/>
          </w:tcPr>
          <w:p w:rsidR="00666B02" w:rsidRPr="00B656D5" w:rsidRDefault="00666B02" w:rsidP="00B656D5">
            <w:pPr>
              <w:spacing w:after="0" w:line="240" w:lineRule="auto"/>
              <w:rPr>
                <w:rFonts w:ascii="Century Gothic" w:eastAsia="Times New Roman" w:hAnsi="Century Gothic" w:cs="Angsana New"/>
                <w:sz w:val="20"/>
                <w:szCs w:val="20"/>
                <w:lang w:val="en-GB" w:eastAsia="en-GB"/>
              </w:rPr>
            </w:pPr>
          </w:p>
        </w:tc>
      </w:tr>
      <w:tr w:rsidR="00A82C8D" w:rsidRPr="00C87A25" w:rsidTr="003345DF">
        <w:trPr>
          <w:trHeight w:val="673"/>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A82C8D" w:rsidRPr="00B656D5" w:rsidRDefault="00A82C8D"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7</w:t>
            </w:r>
          </w:p>
        </w:tc>
        <w:tc>
          <w:tcPr>
            <w:tcW w:w="1137" w:type="pct"/>
            <w:tcBorders>
              <w:top w:val="nil"/>
              <w:left w:val="nil"/>
              <w:bottom w:val="single" w:sz="4" w:space="0" w:color="auto"/>
              <w:right w:val="single" w:sz="4" w:space="0" w:color="auto"/>
            </w:tcBorders>
            <w:shd w:val="clear" w:color="auto" w:fill="E5DFEC"/>
            <w:vAlign w:val="center"/>
            <w:hideMark/>
          </w:tcPr>
          <w:p w:rsidR="00A82C8D" w:rsidRPr="00B656D5" w:rsidRDefault="00A82C8D"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Do you have special workforce health programmes?</w:t>
            </w:r>
          </w:p>
        </w:tc>
        <w:tc>
          <w:tcPr>
            <w:tcW w:w="1099" w:type="pct"/>
            <w:tcBorders>
              <w:top w:val="nil"/>
              <w:left w:val="nil"/>
              <w:bottom w:val="single" w:sz="4" w:space="0" w:color="auto"/>
              <w:right w:val="single" w:sz="4" w:space="0" w:color="auto"/>
            </w:tcBorders>
            <w:shd w:val="clear" w:color="auto" w:fill="E5DFEC"/>
          </w:tcPr>
          <w:p w:rsidR="00A82C8D" w:rsidRPr="00B656D5" w:rsidRDefault="00A82C8D" w:rsidP="00B656D5">
            <w:pPr>
              <w:spacing w:after="0" w:line="240" w:lineRule="auto"/>
              <w:rPr>
                <w:rFonts w:ascii="Century Gothic" w:eastAsia="Times New Roman" w:hAnsi="Century Gothic" w:cs="Angsana New"/>
                <w:caps/>
                <w:sz w:val="20"/>
                <w:szCs w:val="20"/>
                <w:lang w:val="en-GB" w:eastAsia="en-GB"/>
              </w:rPr>
            </w:pPr>
            <w:r w:rsidRPr="00B656D5">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5DFEC"/>
          </w:tcPr>
          <w:p w:rsidR="00A82C8D" w:rsidRPr="00B656D5" w:rsidRDefault="00A82C8D"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B656D5">
              <w:rPr>
                <w:rFonts w:ascii="Century Gothic" w:hAnsi="Century Gothic" w:cs="Myriad Pro"/>
                <w:color w:val="auto"/>
                <w:lang w:val="en-GB"/>
              </w:rPr>
              <w:t xml:space="preserve">The DMA is intended to give the organization an opportunity to explain how the economic, environmental </w:t>
            </w:r>
            <w:r w:rsidRPr="00B656D5">
              <w:rPr>
                <w:rFonts w:ascii="Century Gothic" w:hAnsi="Century Gothic" w:cs="Myriad Pro"/>
                <w:color w:val="auto"/>
                <w:lang w:val="en-GB"/>
              </w:rPr>
              <w:lastRenderedPageBreak/>
              <w:t>and social impacts related to material Aspects are managed.</w:t>
            </w:r>
          </w:p>
        </w:tc>
      </w:tr>
      <w:tr w:rsidR="00666B02" w:rsidRPr="00C87A25" w:rsidTr="003345DF">
        <w:trPr>
          <w:trHeight w:val="268"/>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lastRenderedPageBreak/>
              <w:t>Soc 8</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Investment on training and personal development of staff</w:t>
            </w:r>
          </w:p>
        </w:tc>
        <w:tc>
          <w:tcPr>
            <w:tcW w:w="1099" w:type="pct"/>
            <w:tcBorders>
              <w:top w:val="nil"/>
              <w:left w:val="nil"/>
              <w:bottom w:val="single" w:sz="4" w:space="0" w:color="auto"/>
              <w:right w:val="single" w:sz="4" w:space="0" w:color="auto"/>
            </w:tcBorders>
            <w:shd w:val="clear" w:color="auto" w:fill="E5DFEC"/>
          </w:tcPr>
          <w:p w:rsidR="00666B02" w:rsidRPr="00B656D5" w:rsidRDefault="00A82C8D" w:rsidP="00A82C8D">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TRAINING AND EDUCATION</w:t>
            </w:r>
          </w:p>
          <w:p w:rsidR="00A82C8D" w:rsidRPr="00B656D5" w:rsidRDefault="00A82C8D" w:rsidP="00A82C8D">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AVERAGE HOURS OF TRAINING PER YEAR PER EMPLOYEE BY GENDER, AND BY EMPLOYEE CATEGORY</w:t>
            </w:r>
          </w:p>
        </w:tc>
        <w:tc>
          <w:tcPr>
            <w:tcW w:w="2289" w:type="pct"/>
            <w:tcBorders>
              <w:top w:val="nil"/>
              <w:left w:val="nil"/>
              <w:bottom w:val="single" w:sz="4" w:space="0" w:color="auto"/>
              <w:right w:val="single" w:sz="4" w:space="0" w:color="auto"/>
            </w:tcBorders>
            <w:shd w:val="clear" w:color="auto" w:fill="E5DFEC"/>
          </w:tcPr>
          <w:p w:rsidR="00666B02" w:rsidRPr="00B656D5" w:rsidRDefault="00A82C8D"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G4-LA9</w:t>
            </w:r>
          </w:p>
          <w:p w:rsidR="00A82C8D" w:rsidRPr="00B656D5" w:rsidRDefault="00A82C8D" w:rsidP="00B656D5">
            <w:pPr>
              <w:pStyle w:val="Default"/>
              <w:numPr>
                <w:ilvl w:val="0"/>
                <w:numId w:val="19"/>
              </w:numPr>
              <w:rPr>
                <w:rFonts w:ascii="Century Gothic" w:hAnsi="Century Gothic"/>
                <w:color w:val="auto"/>
                <w:sz w:val="20"/>
                <w:szCs w:val="20"/>
              </w:rPr>
            </w:pPr>
            <w:r w:rsidRPr="00B656D5">
              <w:rPr>
                <w:rFonts w:ascii="Century Gothic" w:hAnsi="Century Gothic"/>
                <w:color w:val="auto"/>
                <w:sz w:val="20"/>
                <w:szCs w:val="20"/>
              </w:rPr>
              <w:t>Report the average hours of training that the organization’s employees have undertaken during the reporting period, by: Gender</w:t>
            </w:r>
            <w:r w:rsidR="00B656D5" w:rsidRPr="00B656D5">
              <w:rPr>
                <w:rFonts w:ascii="Century Gothic" w:hAnsi="Century Gothic"/>
                <w:color w:val="auto"/>
                <w:sz w:val="20"/>
                <w:szCs w:val="20"/>
              </w:rPr>
              <w:t xml:space="preserve">; </w:t>
            </w:r>
            <w:r w:rsidRPr="00B656D5">
              <w:rPr>
                <w:rFonts w:ascii="Century Gothic" w:hAnsi="Century Gothic"/>
                <w:color w:val="auto"/>
                <w:sz w:val="20"/>
                <w:szCs w:val="20"/>
              </w:rPr>
              <w:t xml:space="preserve">Employee category </w:t>
            </w:r>
          </w:p>
          <w:p w:rsidR="00A82C8D" w:rsidRPr="00B656D5" w:rsidRDefault="00A82C8D" w:rsidP="00B656D5">
            <w:pPr>
              <w:spacing w:after="0" w:line="240" w:lineRule="auto"/>
              <w:rPr>
                <w:rFonts w:ascii="Century Gothic" w:eastAsia="Times New Roman" w:hAnsi="Century Gothic" w:cs="Angsana New"/>
                <w:sz w:val="20"/>
                <w:szCs w:val="20"/>
                <w:lang w:val="en-GB" w:eastAsia="en-GB"/>
              </w:rPr>
            </w:pPr>
          </w:p>
        </w:tc>
      </w:tr>
      <w:tr w:rsidR="00666B02" w:rsidRPr="00C87A25" w:rsidTr="003345DF">
        <w:trPr>
          <w:trHeight w:val="693"/>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9</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Average percentage of days of absence due to sickness to total working days of employees</w:t>
            </w:r>
          </w:p>
        </w:tc>
        <w:tc>
          <w:tcPr>
            <w:tcW w:w="1099" w:type="pct"/>
            <w:tcBorders>
              <w:top w:val="nil"/>
              <w:left w:val="nil"/>
              <w:bottom w:val="single" w:sz="4" w:space="0" w:color="auto"/>
              <w:right w:val="single" w:sz="4" w:space="0" w:color="auto"/>
            </w:tcBorders>
            <w:shd w:val="clear" w:color="auto" w:fill="E5DFEC"/>
          </w:tcPr>
          <w:p w:rsidR="002646CE" w:rsidRPr="00B656D5" w:rsidRDefault="002646CE" w:rsidP="002646CE">
            <w:pPr>
              <w:spacing w:after="0" w:line="240" w:lineRule="auto"/>
              <w:rPr>
                <w:rFonts w:ascii="Century Gothic" w:eastAsia="Times New Roman" w:hAnsi="Century Gothic" w:cs="Angsana New"/>
                <w:sz w:val="20"/>
                <w:szCs w:val="20"/>
                <w:lang w:val="en-GB" w:eastAsia="en-GB"/>
              </w:rPr>
            </w:pPr>
          </w:p>
        </w:tc>
        <w:tc>
          <w:tcPr>
            <w:tcW w:w="2289" w:type="pct"/>
            <w:tcBorders>
              <w:top w:val="nil"/>
              <w:left w:val="nil"/>
              <w:bottom w:val="single" w:sz="4" w:space="0" w:color="auto"/>
              <w:right w:val="single" w:sz="4" w:space="0" w:color="auto"/>
            </w:tcBorders>
            <w:shd w:val="clear" w:color="auto" w:fill="E5DFEC"/>
          </w:tcPr>
          <w:p w:rsidR="002646CE" w:rsidRPr="00B656D5" w:rsidRDefault="002646CE" w:rsidP="00B656D5">
            <w:pPr>
              <w:pStyle w:val="Default"/>
              <w:rPr>
                <w:rFonts w:ascii="Century Gothic" w:eastAsia="Times New Roman" w:hAnsi="Century Gothic" w:cs="Angsana New"/>
                <w:color w:val="auto"/>
                <w:sz w:val="20"/>
                <w:szCs w:val="20"/>
                <w:lang w:eastAsia="en-GB"/>
              </w:rPr>
            </w:pPr>
          </w:p>
        </w:tc>
      </w:tr>
      <w:tr w:rsidR="002646CE" w:rsidRPr="00C87A25" w:rsidTr="003345DF">
        <w:trPr>
          <w:trHeight w:val="518"/>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2646CE" w:rsidRPr="00B656D5" w:rsidRDefault="002646CE"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10</w:t>
            </w:r>
          </w:p>
        </w:tc>
        <w:tc>
          <w:tcPr>
            <w:tcW w:w="1137" w:type="pct"/>
            <w:tcBorders>
              <w:top w:val="nil"/>
              <w:left w:val="nil"/>
              <w:bottom w:val="single" w:sz="4" w:space="0" w:color="auto"/>
              <w:right w:val="single" w:sz="4" w:space="0" w:color="auto"/>
            </w:tcBorders>
            <w:shd w:val="clear" w:color="auto" w:fill="E5DFEC"/>
            <w:vAlign w:val="center"/>
            <w:hideMark/>
          </w:tcPr>
          <w:p w:rsidR="002646CE" w:rsidRPr="00B656D5" w:rsidRDefault="002646CE"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Employees with the possibility to flex-time or flexible hours (%)</w:t>
            </w:r>
          </w:p>
        </w:tc>
        <w:tc>
          <w:tcPr>
            <w:tcW w:w="1099" w:type="pct"/>
            <w:tcBorders>
              <w:top w:val="nil"/>
              <w:left w:val="nil"/>
              <w:bottom w:val="single" w:sz="4" w:space="0" w:color="auto"/>
              <w:right w:val="single" w:sz="4" w:space="0" w:color="auto"/>
            </w:tcBorders>
            <w:shd w:val="clear" w:color="auto" w:fill="E5DFEC"/>
          </w:tcPr>
          <w:p w:rsidR="002646CE"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EMPLOYMENT</w:t>
            </w:r>
          </w:p>
          <w:p w:rsidR="002646CE" w:rsidRPr="00B656D5" w:rsidRDefault="002646CE" w:rsidP="00B656D5">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BENEFITS PROVIDED TO FULL-TIME EMPLOYEES THAT ARE NOT PROVIDED TO TEMPORARY OR PART-TIME EMPLOYEES, BY SIGNIFICANT LOCATIONS OF OPERATION</w:t>
            </w:r>
          </w:p>
        </w:tc>
        <w:tc>
          <w:tcPr>
            <w:tcW w:w="2289" w:type="pct"/>
            <w:tcBorders>
              <w:top w:val="nil"/>
              <w:left w:val="nil"/>
              <w:bottom w:val="single" w:sz="4" w:space="0" w:color="auto"/>
              <w:right w:val="single" w:sz="4" w:space="0" w:color="auto"/>
            </w:tcBorders>
            <w:shd w:val="clear" w:color="auto" w:fill="E5DFEC"/>
          </w:tcPr>
          <w:p w:rsidR="002646CE"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G4-LA2</w:t>
            </w:r>
          </w:p>
          <w:p w:rsidR="002646CE" w:rsidRPr="00B656D5" w:rsidRDefault="002646CE" w:rsidP="00B656D5">
            <w:pPr>
              <w:pStyle w:val="Default"/>
              <w:numPr>
                <w:ilvl w:val="0"/>
                <w:numId w:val="19"/>
              </w:numPr>
              <w:rPr>
                <w:rFonts w:ascii="Century Gothic" w:eastAsia="Times New Roman" w:hAnsi="Century Gothic" w:cs="Angsana New"/>
                <w:color w:val="auto"/>
                <w:sz w:val="20"/>
                <w:szCs w:val="20"/>
                <w:lang w:eastAsia="en-GB"/>
              </w:rPr>
            </w:pPr>
            <w:r w:rsidRPr="00B656D5">
              <w:rPr>
                <w:rFonts w:ascii="Century Gothic" w:hAnsi="Century Gothic"/>
                <w:color w:val="auto"/>
                <w:sz w:val="20"/>
                <w:szCs w:val="20"/>
              </w:rPr>
              <w:t>a. Report the benefits which are standard for full-time employees of the organization but are not provided to temporary or part-time employees, by significant locations of operation. b. Report the definition used for ‘significant locations of operation’.</w:t>
            </w:r>
          </w:p>
        </w:tc>
      </w:tr>
      <w:tr w:rsidR="00666B02" w:rsidRPr="00C87A25" w:rsidTr="003345DF">
        <w:trPr>
          <w:trHeight w:val="904"/>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11</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Do you provide crèche or child care help over legal requirements?</w:t>
            </w:r>
          </w:p>
        </w:tc>
        <w:tc>
          <w:tcPr>
            <w:tcW w:w="1099" w:type="pct"/>
            <w:tcBorders>
              <w:top w:val="nil"/>
              <w:left w:val="nil"/>
              <w:bottom w:val="single" w:sz="4" w:space="0" w:color="auto"/>
              <w:right w:val="single" w:sz="4" w:space="0" w:color="auto"/>
            </w:tcBorders>
            <w:shd w:val="clear" w:color="auto" w:fill="E5DFEC"/>
          </w:tcPr>
          <w:p w:rsidR="00666B02" w:rsidRPr="00B656D5" w:rsidRDefault="00666B02" w:rsidP="00B656D5">
            <w:pPr>
              <w:pStyle w:val="ListParagraph"/>
              <w:spacing w:after="0" w:line="240" w:lineRule="auto"/>
              <w:ind w:left="360"/>
              <w:rPr>
                <w:rFonts w:ascii="Century Gothic" w:eastAsia="Times New Roman" w:hAnsi="Century Gothic" w:cs="Angsana New"/>
                <w:color w:val="auto"/>
                <w:lang w:val="en-GB" w:eastAsia="en-GB"/>
              </w:rPr>
            </w:pPr>
          </w:p>
        </w:tc>
        <w:tc>
          <w:tcPr>
            <w:tcW w:w="2289" w:type="pct"/>
            <w:tcBorders>
              <w:top w:val="nil"/>
              <w:left w:val="nil"/>
              <w:bottom w:val="single" w:sz="4" w:space="0" w:color="auto"/>
              <w:right w:val="single" w:sz="4" w:space="0" w:color="auto"/>
            </w:tcBorders>
            <w:shd w:val="clear" w:color="auto" w:fill="E5DFEC"/>
          </w:tcPr>
          <w:p w:rsidR="00666B02" w:rsidRPr="00B656D5" w:rsidRDefault="00666B02" w:rsidP="00B656D5">
            <w:pPr>
              <w:spacing w:after="0" w:line="240" w:lineRule="auto"/>
              <w:rPr>
                <w:rFonts w:ascii="Century Gothic" w:eastAsia="Times New Roman" w:hAnsi="Century Gothic" w:cs="Angsana New"/>
                <w:sz w:val="20"/>
                <w:szCs w:val="20"/>
                <w:lang w:val="en-GB" w:eastAsia="en-GB"/>
              </w:rPr>
            </w:pPr>
          </w:p>
        </w:tc>
      </w:tr>
      <w:tr w:rsidR="002646CE" w:rsidRPr="00C87A25" w:rsidTr="003345DF">
        <w:trPr>
          <w:trHeight w:val="996"/>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2646CE" w:rsidRPr="00B656D5" w:rsidRDefault="002646CE"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12</w:t>
            </w:r>
          </w:p>
        </w:tc>
        <w:tc>
          <w:tcPr>
            <w:tcW w:w="1137" w:type="pct"/>
            <w:tcBorders>
              <w:top w:val="nil"/>
              <w:left w:val="nil"/>
              <w:bottom w:val="single" w:sz="4" w:space="0" w:color="auto"/>
              <w:right w:val="single" w:sz="4" w:space="0" w:color="auto"/>
            </w:tcBorders>
            <w:shd w:val="clear" w:color="auto" w:fill="E5DFEC"/>
            <w:vAlign w:val="center"/>
            <w:hideMark/>
          </w:tcPr>
          <w:p w:rsidR="002646CE" w:rsidRPr="00B656D5" w:rsidRDefault="002646CE"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 xml:space="preserve">Average wage in company/organisation in relation to average wage in city/state? </w:t>
            </w:r>
          </w:p>
        </w:tc>
        <w:tc>
          <w:tcPr>
            <w:tcW w:w="1099" w:type="pct"/>
            <w:tcBorders>
              <w:top w:val="nil"/>
              <w:left w:val="nil"/>
              <w:bottom w:val="single" w:sz="4" w:space="0" w:color="auto"/>
              <w:right w:val="single" w:sz="4" w:space="0" w:color="auto"/>
            </w:tcBorders>
            <w:shd w:val="clear" w:color="auto" w:fill="E5DFEC"/>
          </w:tcPr>
          <w:p w:rsidR="002646CE"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ECONOMIC PERFORMANCE</w:t>
            </w:r>
          </w:p>
          <w:p w:rsidR="002646CE" w:rsidRPr="00B656D5" w:rsidRDefault="002646CE" w:rsidP="00B656D5">
            <w:pPr>
              <w:spacing w:after="0" w:line="240" w:lineRule="auto"/>
              <w:rPr>
                <w:rFonts w:ascii="Century Gothic" w:hAnsi="Century Gothic"/>
                <w:bCs/>
                <w:sz w:val="20"/>
                <w:szCs w:val="20"/>
                <w:lang w:val="en-GB"/>
              </w:rPr>
            </w:pPr>
            <w:r w:rsidRPr="00B656D5">
              <w:rPr>
                <w:rFonts w:ascii="Century Gothic" w:hAnsi="Century Gothic"/>
                <w:bCs/>
                <w:sz w:val="20"/>
                <w:szCs w:val="20"/>
                <w:lang w:val="en-GB"/>
              </w:rPr>
              <w:t>DIRECT ECONOMIC VALUE GENERATED AND DISTRIBUTED</w:t>
            </w:r>
          </w:p>
          <w:p w:rsidR="002646CE" w:rsidRPr="00B656D5" w:rsidRDefault="002646CE" w:rsidP="00B656D5">
            <w:pPr>
              <w:spacing w:after="0" w:line="240" w:lineRule="auto"/>
              <w:rPr>
                <w:rFonts w:ascii="Century Gothic" w:hAnsi="Century Gothic"/>
                <w:bCs/>
                <w:sz w:val="20"/>
                <w:szCs w:val="20"/>
                <w:lang w:val="en-GB"/>
              </w:rPr>
            </w:pPr>
          </w:p>
          <w:p w:rsidR="002646CE" w:rsidRPr="00B656D5" w:rsidRDefault="002646CE" w:rsidP="00B656D5">
            <w:pPr>
              <w:spacing w:after="0" w:line="240" w:lineRule="auto"/>
              <w:rPr>
                <w:rFonts w:ascii="Century Gothic" w:eastAsia="Times New Roman" w:hAnsi="Century Gothic" w:cs="Angsana New"/>
                <w:sz w:val="20"/>
                <w:szCs w:val="20"/>
                <w:lang w:val="en-GB" w:eastAsia="en-GB"/>
              </w:rPr>
            </w:pPr>
          </w:p>
        </w:tc>
        <w:tc>
          <w:tcPr>
            <w:tcW w:w="2289" w:type="pct"/>
            <w:tcBorders>
              <w:top w:val="nil"/>
              <w:left w:val="nil"/>
              <w:bottom w:val="single" w:sz="4" w:space="0" w:color="auto"/>
              <w:right w:val="single" w:sz="4" w:space="0" w:color="auto"/>
            </w:tcBorders>
            <w:shd w:val="clear" w:color="auto" w:fill="E5DFEC"/>
          </w:tcPr>
          <w:p w:rsidR="002646CE"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G4-ECI</w:t>
            </w:r>
          </w:p>
          <w:p w:rsidR="002646CE" w:rsidRPr="00B656D5" w:rsidRDefault="002646CE" w:rsidP="00B656D5">
            <w:pPr>
              <w:pStyle w:val="Default"/>
              <w:numPr>
                <w:ilvl w:val="0"/>
                <w:numId w:val="16"/>
              </w:numPr>
              <w:rPr>
                <w:rFonts w:ascii="Century Gothic" w:hAnsi="Century Gothic"/>
                <w:b/>
                <w:bCs/>
                <w:color w:val="auto"/>
                <w:sz w:val="20"/>
                <w:szCs w:val="20"/>
              </w:rPr>
            </w:pPr>
            <w:r w:rsidRPr="00B656D5">
              <w:rPr>
                <w:rFonts w:ascii="Century Gothic" w:hAnsi="Century Gothic"/>
                <w:color w:val="auto"/>
                <w:sz w:val="20"/>
                <w:szCs w:val="20"/>
              </w:rPr>
              <w:t>Report the direct economic value generated and distributed (EVG&amp;D) on an accruals basis including the basic components for the organization’s global operations as listed below. If data is presented on a cash basis, report the justification for this decision and report the basic components as</w:t>
            </w:r>
            <w:r w:rsidR="003345DF">
              <w:rPr>
                <w:rFonts w:ascii="Century Gothic" w:hAnsi="Century Gothic"/>
                <w:color w:val="auto"/>
                <w:sz w:val="20"/>
                <w:szCs w:val="20"/>
              </w:rPr>
              <w:t xml:space="preserve"> listed Economic value retained</w:t>
            </w:r>
            <w:r w:rsidRPr="00B656D5">
              <w:rPr>
                <w:rFonts w:ascii="Century Gothic" w:hAnsi="Century Gothic"/>
                <w:color w:val="auto"/>
                <w:sz w:val="20"/>
                <w:szCs w:val="20"/>
              </w:rPr>
              <w:t>.</w:t>
            </w:r>
          </w:p>
        </w:tc>
      </w:tr>
      <w:tr w:rsidR="00666B02" w:rsidRPr="00C87A25" w:rsidTr="003345DF">
        <w:trPr>
          <w:trHeight w:val="693"/>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lastRenderedPageBreak/>
              <w:t>Soc 13</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Diversity and gender</w:t>
            </w:r>
          </w:p>
        </w:tc>
        <w:tc>
          <w:tcPr>
            <w:tcW w:w="1099" w:type="pct"/>
            <w:tcBorders>
              <w:top w:val="nil"/>
              <w:left w:val="nil"/>
              <w:bottom w:val="single" w:sz="4" w:space="0" w:color="auto"/>
              <w:right w:val="single" w:sz="4" w:space="0" w:color="auto"/>
            </w:tcBorders>
            <w:shd w:val="clear" w:color="auto" w:fill="E5DFEC"/>
          </w:tcPr>
          <w:p w:rsidR="00666B02" w:rsidRPr="00B656D5" w:rsidRDefault="002646CE" w:rsidP="002646CE">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DIVERSITY AND EQUAL OPPORTUNITY</w:t>
            </w:r>
          </w:p>
          <w:p w:rsidR="002646CE" w:rsidRPr="00B656D5" w:rsidRDefault="002646CE" w:rsidP="002646CE">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COMPOSITION OF GOVERNANCE BODIES AND BREAKDOWN OF EMPLOYEES PER EMPLOYEE CATEGORY ACCORDING TO GENDER, AGE GROUP, MINORITY GROUP MEMBERSHIP, AND OTHER INDICATORS OF DIVERSITY</w:t>
            </w:r>
          </w:p>
        </w:tc>
        <w:tc>
          <w:tcPr>
            <w:tcW w:w="2289" w:type="pct"/>
            <w:tcBorders>
              <w:top w:val="nil"/>
              <w:left w:val="nil"/>
              <w:bottom w:val="single" w:sz="4" w:space="0" w:color="auto"/>
              <w:right w:val="single" w:sz="4" w:space="0" w:color="auto"/>
            </w:tcBorders>
            <w:shd w:val="clear" w:color="auto" w:fill="E5DFEC"/>
          </w:tcPr>
          <w:p w:rsidR="00666B02"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G4-LA12</w:t>
            </w:r>
          </w:p>
          <w:p w:rsidR="002646CE" w:rsidRPr="003345DF" w:rsidRDefault="002646CE" w:rsidP="00B656D5">
            <w:pPr>
              <w:pStyle w:val="Default"/>
              <w:numPr>
                <w:ilvl w:val="0"/>
                <w:numId w:val="16"/>
              </w:numPr>
              <w:rPr>
                <w:rFonts w:ascii="Century Gothic" w:hAnsi="Century Gothic"/>
                <w:color w:val="auto"/>
                <w:sz w:val="20"/>
                <w:szCs w:val="20"/>
              </w:rPr>
            </w:pPr>
            <w:r w:rsidRPr="00B656D5">
              <w:rPr>
                <w:rFonts w:ascii="Century Gothic" w:hAnsi="Century Gothic"/>
                <w:color w:val="auto"/>
                <w:sz w:val="20"/>
                <w:szCs w:val="20"/>
              </w:rPr>
              <w:t>A. Report the percentage of individuals within the organization’s governance bodies in each of the following diversity categories: b. Report the percentage of employees per employee category in each of the following diversity categories: (Gender; Age group: under 30 years old, 30-50 years old, over 50 years old;  Minority groups; Other indicat</w:t>
            </w:r>
            <w:r w:rsidR="00B656D5" w:rsidRPr="00B656D5">
              <w:rPr>
                <w:rFonts w:ascii="Century Gothic" w:hAnsi="Century Gothic"/>
                <w:color w:val="auto"/>
                <w:sz w:val="20"/>
                <w:szCs w:val="20"/>
              </w:rPr>
              <w:t>ors of diversity where relevant</w:t>
            </w:r>
            <w:r w:rsidRPr="00B656D5">
              <w:rPr>
                <w:rFonts w:ascii="Century Gothic" w:hAnsi="Century Gothic"/>
                <w:color w:val="auto"/>
                <w:sz w:val="20"/>
                <w:szCs w:val="20"/>
              </w:rPr>
              <w:t>)</w:t>
            </w:r>
          </w:p>
        </w:tc>
      </w:tr>
      <w:tr w:rsidR="002646CE" w:rsidRPr="00C87A25" w:rsidTr="003345DF">
        <w:trPr>
          <w:trHeight w:val="1266"/>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2646CE" w:rsidRPr="00B656D5" w:rsidRDefault="002646CE"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14</w:t>
            </w:r>
          </w:p>
        </w:tc>
        <w:tc>
          <w:tcPr>
            <w:tcW w:w="1137" w:type="pct"/>
            <w:tcBorders>
              <w:top w:val="nil"/>
              <w:left w:val="nil"/>
              <w:bottom w:val="single" w:sz="4" w:space="0" w:color="auto"/>
              <w:right w:val="single" w:sz="4" w:space="0" w:color="auto"/>
            </w:tcBorders>
            <w:shd w:val="clear" w:color="auto" w:fill="E5DFEC"/>
            <w:vAlign w:val="center"/>
            <w:hideMark/>
          </w:tcPr>
          <w:p w:rsidR="002646CE" w:rsidRPr="00B656D5" w:rsidRDefault="002646CE"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Jobs offered to less abled, disadvantaged or long-term unemployed people (%)</w:t>
            </w:r>
          </w:p>
        </w:tc>
        <w:tc>
          <w:tcPr>
            <w:tcW w:w="1099" w:type="pct"/>
            <w:tcBorders>
              <w:top w:val="nil"/>
              <w:left w:val="nil"/>
              <w:bottom w:val="single" w:sz="4" w:space="0" w:color="auto"/>
              <w:right w:val="single" w:sz="4" w:space="0" w:color="auto"/>
            </w:tcBorders>
            <w:shd w:val="clear" w:color="auto" w:fill="E5DFEC"/>
          </w:tcPr>
          <w:p w:rsidR="002646CE"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DIVERSITY AND EQUAL OPPORTUNITY</w:t>
            </w:r>
          </w:p>
          <w:p w:rsidR="002646CE" w:rsidRPr="00B656D5" w:rsidRDefault="002646CE" w:rsidP="00B656D5">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COMPOSITION OF GOVERNANCE BODIES AND BREAKDOWN OF EMPLOYEES PER EMPLOYEE CATEGORY ACCORDING TO GENDER, AGE GROUP, MINORITY GROUP MEMBERSHIP, AND OTHER INDICATORS OF DIVERSITY</w:t>
            </w:r>
          </w:p>
        </w:tc>
        <w:tc>
          <w:tcPr>
            <w:tcW w:w="2289" w:type="pct"/>
            <w:tcBorders>
              <w:top w:val="nil"/>
              <w:left w:val="nil"/>
              <w:bottom w:val="single" w:sz="4" w:space="0" w:color="auto"/>
              <w:right w:val="single" w:sz="4" w:space="0" w:color="auto"/>
            </w:tcBorders>
            <w:shd w:val="clear" w:color="auto" w:fill="E5DFEC"/>
          </w:tcPr>
          <w:p w:rsidR="002646CE"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G4-LA12</w:t>
            </w:r>
          </w:p>
          <w:p w:rsidR="002646CE" w:rsidRPr="003345DF" w:rsidRDefault="002646CE" w:rsidP="00B656D5">
            <w:pPr>
              <w:pStyle w:val="Default"/>
              <w:numPr>
                <w:ilvl w:val="0"/>
                <w:numId w:val="16"/>
              </w:numPr>
              <w:rPr>
                <w:rFonts w:ascii="Century Gothic" w:hAnsi="Century Gothic"/>
                <w:color w:val="auto"/>
                <w:sz w:val="20"/>
                <w:szCs w:val="20"/>
              </w:rPr>
            </w:pPr>
            <w:r w:rsidRPr="00B656D5">
              <w:rPr>
                <w:rFonts w:ascii="Century Gothic" w:hAnsi="Century Gothic"/>
                <w:color w:val="auto"/>
                <w:sz w:val="20"/>
                <w:szCs w:val="20"/>
              </w:rPr>
              <w:t>A. Report the percentage of individuals within the organization’s governance bodies in each of the following diversity categories: b. Report the percentage of employees per employee category in each of the following diversity categories: (Gender; Age group: under 30 years old, 30-50 years old, over 50 years old;  Minority groups; Other indicators of diversity where relevant )</w:t>
            </w:r>
          </w:p>
        </w:tc>
      </w:tr>
      <w:tr w:rsidR="00666B02" w:rsidRPr="00C87A25" w:rsidTr="003345DF">
        <w:trPr>
          <w:trHeight w:val="944"/>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15</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Do you have community relationships (volunteer / CSR programmes)?</w:t>
            </w:r>
          </w:p>
        </w:tc>
        <w:tc>
          <w:tcPr>
            <w:tcW w:w="1099" w:type="pct"/>
            <w:tcBorders>
              <w:top w:val="nil"/>
              <w:left w:val="nil"/>
              <w:bottom w:val="single" w:sz="4" w:space="0" w:color="auto"/>
              <w:right w:val="single" w:sz="4" w:space="0" w:color="auto"/>
            </w:tcBorders>
            <w:shd w:val="clear" w:color="auto" w:fill="E5DFEC"/>
          </w:tcPr>
          <w:p w:rsidR="00666B02" w:rsidRPr="00B656D5" w:rsidRDefault="002646CE" w:rsidP="002646CE">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LOCAL COMMUNITIES</w:t>
            </w:r>
          </w:p>
          <w:p w:rsidR="002646CE" w:rsidRPr="00B656D5" w:rsidRDefault="002646CE" w:rsidP="002646CE">
            <w:pPr>
              <w:spacing w:after="0" w:line="240" w:lineRule="auto"/>
              <w:rPr>
                <w:rFonts w:ascii="Century Gothic" w:eastAsia="Times New Roman" w:hAnsi="Century Gothic" w:cs="Angsana New"/>
                <w:sz w:val="20"/>
                <w:szCs w:val="20"/>
                <w:lang w:val="en-GB" w:eastAsia="en-GB"/>
              </w:rPr>
            </w:pPr>
            <w:r w:rsidRPr="00B656D5">
              <w:rPr>
                <w:rFonts w:ascii="Century Gothic" w:hAnsi="Century Gothic"/>
                <w:bCs/>
                <w:sz w:val="20"/>
                <w:szCs w:val="20"/>
                <w:lang w:val="en-GB"/>
              </w:rPr>
              <w:t>PERCENTAGE OF OPERATIONS WITH IMPLEMENTED LOCAL COMMUNITY ENGAGEMENT, IMPACT ASSESSMENTS, AND DEVELOPMENT PROGRAMS</w:t>
            </w:r>
          </w:p>
        </w:tc>
        <w:tc>
          <w:tcPr>
            <w:tcW w:w="2289" w:type="pct"/>
            <w:tcBorders>
              <w:top w:val="nil"/>
              <w:left w:val="nil"/>
              <w:bottom w:val="single" w:sz="4" w:space="0" w:color="auto"/>
              <w:right w:val="single" w:sz="4" w:space="0" w:color="auto"/>
            </w:tcBorders>
            <w:shd w:val="clear" w:color="auto" w:fill="E5DFEC"/>
          </w:tcPr>
          <w:p w:rsidR="00666B02"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G4-SO1</w:t>
            </w:r>
          </w:p>
          <w:p w:rsidR="002646CE" w:rsidRPr="00B656D5" w:rsidRDefault="002646CE" w:rsidP="00B656D5">
            <w:pPr>
              <w:pStyle w:val="Default"/>
              <w:numPr>
                <w:ilvl w:val="0"/>
                <w:numId w:val="14"/>
              </w:numPr>
              <w:rPr>
                <w:rFonts w:ascii="Century Gothic" w:hAnsi="Century Gothic"/>
                <w:color w:val="auto"/>
                <w:sz w:val="20"/>
                <w:szCs w:val="20"/>
              </w:rPr>
            </w:pPr>
            <w:r w:rsidRPr="00B656D5">
              <w:rPr>
                <w:rFonts w:ascii="Century Gothic" w:hAnsi="Century Gothic"/>
                <w:color w:val="auto"/>
                <w:sz w:val="20"/>
                <w:szCs w:val="20"/>
              </w:rPr>
              <w:t xml:space="preserve">a. Report the percentage of operations with implemented local community engagement, impact assessments, and development programs, including the use of: (Social impact assessments, including gender impact assessments, based on participatory processes; Environmental impact assessments and ongoing monitoring; Public disclosure of results of environmental and social impact assessments; Local </w:t>
            </w:r>
            <w:r w:rsidRPr="00B656D5">
              <w:rPr>
                <w:rFonts w:ascii="Century Gothic" w:hAnsi="Century Gothic"/>
                <w:color w:val="auto"/>
                <w:sz w:val="20"/>
                <w:szCs w:val="20"/>
              </w:rPr>
              <w:lastRenderedPageBreak/>
              <w:t xml:space="preserve">community development programs based on local communities’ needs; Stakeholder engagement plans based on stakeholder mapping; Broad based local community consultation committees and processes that include vulnerable groups; Works councils, occupational health and safety committees and other employee representation bodies to deal with impacts; Formal local community grievance processes) </w:t>
            </w:r>
          </w:p>
        </w:tc>
      </w:tr>
      <w:tr w:rsidR="00666B02" w:rsidRPr="00C87A25" w:rsidTr="003345DF">
        <w:trPr>
          <w:trHeight w:val="234"/>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lastRenderedPageBreak/>
              <w:t xml:space="preserve">Soc 16 </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Health and Safety infractions (accidents in the workplace or on the network)</w:t>
            </w:r>
          </w:p>
        </w:tc>
        <w:tc>
          <w:tcPr>
            <w:tcW w:w="1099" w:type="pct"/>
            <w:tcBorders>
              <w:top w:val="nil"/>
              <w:left w:val="nil"/>
              <w:bottom w:val="single" w:sz="4" w:space="0" w:color="auto"/>
              <w:right w:val="single" w:sz="4" w:space="0" w:color="auto"/>
            </w:tcBorders>
            <w:shd w:val="clear" w:color="auto" w:fill="E5DFEC"/>
          </w:tcPr>
          <w:p w:rsidR="00666B02" w:rsidRPr="00B656D5" w:rsidRDefault="00B75E4B"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CUSTOMER HEALTH AND SAFTEY</w:t>
            </w:r>
          </w:p>
          <w:p w:rsidR="00B75E4B" w:rsidRPr="00B656D5" w:rsidRDefault="00B75E4B" w:rsidP="00B656D5">
            <w:pPr>
              <w:pStyle w:val="Default"/>
              <w:rPr>
                <w:rFonts w:ascii="Century Gothic" w:hAnsi="Century Gothic"/>
                <w:bCs/>
                <w:color w:val="auto"/>
                <w:sz w:val="20"/>
                <w:szCs w:val="20"/>
              </w:rPr>
            </w:pPr>
            <w:r w:rsidRPr="00B656D5">
              <w:rPr>
                <w:rFonts w:ascii="Century Gothic" w:hAnsi="Century Gothic"/>
                <w:bCs/>
                <w:color w:val="auto"/>
                <w:sz w:val="20"/>
                <w:szCs w:val="20"/>
              </w:rPr>
              <w:t xml:space="preserve">TOTAL NUMBER OF INCIDENTS OF NON-COMPLIANCE WITH REGULATIONS AND VOLUNTARY CODES CONCERNING THE HEALTH AND SAFETY IMPACTS OF PRODUCTS AND SERVICES DURING THEIR LIFE CYCLE, BY TYPE OF OUTCOMES </w:t>
            </w:r>
          </w:p>
        </w:tc>
        <w:tc>
          <w:tcPr>
            <w:tcW w:w="2289" w:type="pct"/>
            <w:tcBorders>
              <w:top w:val="nil"/>
              <w:left w:val="nil"/>
              <w:bottom w:val="single" w:sz="4" w:space="0" w:color="auto"/>
              <w:right w:val="single" w:sz="4" w:space="0" w:color="auto"/>
            </w:tcBorders>
            <w:shd w:val="clear" w:color="auto" w:fill="E5DFEC"/>
          </w:tcPr>
          <w:p w:rsidR="00666B02" w:rsidRPr="00B656D5" w:rsidRDefault="002646CE"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G4-PR2</w:t>
            </w:r>
          </w:p>
          <w:p w:rsidR="002646CE" w:rsidRPr="00B656D5" w:rsidRDefault="002646CE" w:rsidP="00B75E4B">
            <w:pPr>
              <w:pStyle w:val="Default"/>
              <w:numPr>
                <w:ilvl w:val="0"/>
                <w:numId w:val="14"/>
              </w:numPr>
              <w:rPr>
                <w:rFonts w:ascii="Century Gothic" w:eastAsia="Times New Roman" w:hAnsi="Century Gothic" w:cs="Angsana New"/>
                <w:color w:val="auto"/>
                <w:sz w:val="20"/>
                <w:szCs w:val="20"/>
                <w:lang w:eastAsia="en-GB"/>
              </w:rPr>
            </w:pPr>
            <w:r w:rsidRPr="00B656D5">
              <w:rPr>
                <w:rFonts w:ascii="Century Gothic" w:hAnsi="Century Gothic"/>
                <w:color w:val="auto"/>
                <w:sz w:val="20"/>
                <w:szCs w:val="20"/>
              </w:rPr>
              <w:t>a. Report the total number of incidents of non-compliance with regulations and voluntary codes concerning the health and safety impacts of products and services within the reporting period, b. If the organization has not identified any non-compliance with regulations and voluntary codes, a brief statement of this fact is sufficient.</w:t>
            </w:r>
          </w:p>
        </w:tc>
      </w:tr>
      <w:tr w:rsidR="00B75E4B" w:rsidRPr="00C87A25" w:rsidTr="003345DF">
        <w:trPr>
          <w:trHeight w:val="268"/>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B75E4B" w:rsidRPr="00B656D5" w:rsidRDefault="00B75E4B"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17</w:t>
            </w:r>
          </w:p>
        </w:tc>
        <w:tc>
          <w:tcPr>
            <w:tcW w:w="1137" w:type="pct"/>
            <w:tcBorders>
              <w:top w:val="nil"/>
              <w:left w:val="nil"/>
              <w:bottom w:val="single" w:sz="4" w:space="0" w:color="auto"/>
              <w:right w:val="single" w:sz="4" w:space="0" w:color="auto"/>
            </w:tcBorders>
            <w:shd w:val="clear" w:color="auto" w:fill="E5DFEC"/>
            <w:vAlign w:val="center"/>
            <w:hideMark/>
          </w:tcPr>
          <w:p w:rsidR="00B75E4B" w:rsidRPr="00B656D5" w:rsidRDefault="00B75E4B"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Number of accidents with personal liability/number of injuries or fatalities in workplace/on network for non staff/employees</w:t>
            </w:r>
          </w:p>
        </w:tc>
        <w:tc>
          <w:tcPr>
            <w:tcW w:w="1099" w:type="pct"/>
            <w:tcBorders>
              <w:top w:val="nil"/>
              <w:left w:val="nil"/>
              <w:bottom w:val="single" w:sz="4" w:space="0" w:color="auto"/>
              <w:right w:val="single" w:sz="4" w:space="0" w:color="auto"/>
            </w:tcBorders>
            <w:shd w:val="clear" w:color="auto" w:fill="E5DFEC"/>
          </w:tcPr>
          <w:p w:rsidR="00B75E4B" w:rsidRPr="00B656D5" w:rsidRDefault="00B75E4B"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CUSTOMER HEALTH AND SAFTEY</w:t>
            </w:r>
          </w:p>
          <w:p w:rsidR="00B75E4B" w:rsidRPr="00B656D5" w:rsidRDefault="00B75E4B" w:rsidP="00B656D5">
            <w:pPr>
              <w:pStyle w:val="Default"/>
              <w:rPr>
                <w:rFonts w:ascii="Century Gothic" w:hAnsi="Century Gothic"/>
                <w:bCs/>
                <w:color w:val="auto"/>
                <w:sz w:val="20"/>
                <w:szCs w:val="20"/>
              </w:rPr>
            </w:pPr>
            <w:r w:rsidRPr="00B656D5">
              <w:rPr>
                <w:rFonts w:ascii="Century Gothic" w:hAnsi="Century Gothic"/>
                <w:bCs/>
                <w:color w:val="auto"/>
                <w:sz w:val="20"/>
                <w:szCs w:val="20"/>
              </w:rPr>
              <w:t xml:space="preserve">TOTAL NUMBER OF INCIDENTS OF NON-COMPLIANCE WITH REGULATIONS AND VOLUNTARY CODES CONCERNING THE HEALTH AND SAFETY IMPACTS OF PRODUCTS AND SERVICES DURING THEIR LIFE CYCLE, BY TYPE OF OUTCOMES </w:t>
            </w:r>
          </w:p>
        </w:tc>
        <w:tc>
          <w:tcPr>
            <w:tcW w:w="2289" w:type="pct"/>
            <w:tcBorders>
              <w:top w:val="nil"/>
              <w:left w:val="nil"/>
              <w:bottom w:val="single" w:sz="4" w:space="0" w:color="auto"/>
              <w:right w:val="single" w:sz="4" w:space="0" w:color="auto"/>
            </w:tcBorders>
            <w:shd w:val="clear" w:color="auto" w:fill="E5DFEC"/>
          </w:tcPr>
          <w:p w:rsidR="00B75E4B" w:rsidRPr="00B656D5" w:rsidRDefault="00B75E4B" w:rsidP="00B656D5">
            <w:pPr>
              <w:spacing w:after="0" w:line="240" w:lineRule="auto"/>
              <w:rPr>
                <w:rFonts w:ascii="Century Gothic" w:eastAsia="Times New Roman" w:hAnsi="Century Gothic" w:cs="Angsana New"/>
                <w:b/>
                <w:sz w:val="20"/>
                <w:szCs w:val="20"/>
                <w:lang w:val="en-GB" w:eastAsia="en-GB"/>
              </w:rPr>
            </w:pPr>
            <w:r w:rsidRPr="00B656D5">
              <w:rPr>
                <w:rFonts w:ascii="Century Gothic" w:eastAsia="Times New Roman" w:hAnsi="Century Gothic" w:cs="Angsana New"/>
                <w:b/>
                <w:sz w:val="20"/>
                <w:szCs w:val="20"/>
                <w:lang w:val="en-GB" w:eastAsia="en-GB"/>
              </w:rPr>
              <w:t>G4-PR2</w:t>
            </w:r>
          </w:p>
          <w:p w:rsidR="00B75E4B" w:rsidRPr="00B656D5" w:rsidRDefault="00B75E4B" w:rsidP="00B656D5">
            <w:pPr>
              <w:pStyle w:val="Default"/>
              <w:numPr>
                <w:ilvl w:val="0"/>
                <w:numId w:val="14"/>
              </w:numPr>
              <w:rPr>
                <w:rFonts w:ascii="Century Gothic" w:eastAsia="Times New Roman" w:hAnsi="Century Gothic" w:cs="Angsana New"/>
                <w:color w:val="auto"/>
                <w:sz w:val="20"/>
                <w:szCs w:val="20"/>
                <w:lang w:eastAsia="en-GB"/>
              </w:rPr>
            </w:pPr>
            <w:r w:rsidRPr="00B656D5">
              <w:rPr>
                <w:rFonts w:ascii="Century Gothic" w:hAnsi="Century Gothic"/>
                <w:color w:val="auto"/>
                <w:sz w:val="20"/>
                <w:szCs w:val="20"/>
              </w:rPr>
              <w:t>a. Report the total number of incidents of non-compliance with regulations and voluntary codes concerning the health and safety impacts of products and services within the reporting period, b. If the organization has not identified any non-compliance with regulations and voluntary codes, a brief statement of this fact is sufficient.</w:t>
            </w:r>
          </w:p>
        </w:tc>
      </w:tr>
      <w:tr w:rsidR="00B75E4B" w:rsidRPr="00C87A25" w:rsidTr="003345DF">
        <w:trPr>
          <w:trHeight w:val="410"/>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B75E4B" w:rsidRPr="00B656D5" w:rsidRDefault="00B75E4B"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lastRenderedPageBreak/>
              <w:t>Soc 18</w:t>
            </w:r>
          </w:p>
        </w:tc>
        <w:tc>
          <w:tcPr>
            <w:tcW w:w="1137" w:type="pct"/>
            <w:tcBorders>
              <w:top w:val="nil"/>
              <w:left w:val="nil"/>
              <w:bottom w:val="single" w:sz="4" w:space="0" w:color="auto"/>
              <w:right w:val="single" w:sz="4" w:space="0" w:color="auto"/>
            </w:tcBorders>
            <w:shd w:val="clear" w:color="auto" w:fill="E5DFEC"/>
            <w:vAlign w:val="center"/>
            <w:hideMark/>
          </w:tcPr>
          <w:p w:rsidR="00B75E4B" w:rsidRPr="00B656D5" w:rsidRDefault="00B75E4B"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Programme for employee mobility management</w:t>
            </w:r>
          </w:p>
        </w:tc>
        <w:tc>
          <w:tcPr>
            <w:tcW w:w="1099" w:type="pct"/>
            <w:tcBorders>
              <w:top w:val="nil"/>
              <w:left w:val="nil"/>
              <w:bottom w:val="single" w:sz="4" w:space="0" w:color="auto"/>
              <w:right w:val="single" w:sz="4" w:space="0" w:color="auto"/>
            </w:tcBorders>
            <w:shd w:val="clear" w:color="auto" w:fill="E5DFEC"/>
          </w:tcPr>
          <w:p w:rsidR="00B75E4B" w:rsidRPr="00B656D5" w:rsidRDefault="00B75E4B" w:rsidP="00B656D5">
            <w:pPr>
              <w:spacing w:after="0" w:line="240" w:lineRule="auto"/>
              <w:rPr>
                <w:rFonts w:ascii="Century Gothic" w:eastAsia="Times New Roman" w:hAnsi="Century Gothic" w:cs="Angsana New"/>
                <w:caps/>
                <w:sz w:val="20"/>
                <w:szCs w:val="20"/>
                <w:lang w:val="en-GB" w:eastAsia="en-GB"/>
              </w:rPr>
            </w:pPr>
            <w:r w:rsidRPr="00B656D5">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5DFEC"/>
          </w:tcPr>
          <w:p w:rsidR="00B75E4B" w:rsidRPr="00B656D5" w:rsidRDefault="00B75E4B"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B656D5">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B75E4B" w:rsidRPr="00C87A25" w:rsidTr="003345DF">
        <w:trPr>
          <w:trHeight w:val="282"/>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B75E4B" w:rsidRPr="00B656D5" w:rsidRDefault="00B75E4B"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19</w:t>
            </w:r>
          </w:p>
        </w:tc>
        <w:tc>
          <w:tcPr>
            <w:tcW w:w="1137" w:type="pct"/>
            <w:tcBorders>
              <w:top w:val="nil"/>
              <w:left w:val="nil"/>
              <w:bottom w:val="single" w:sz="4" w:space="0" w:color="auto"/>
              <w:right w:val="single" w:sz="4" w:space="0" w:color="auto"/>
            </w:tcBorders>
            <w:shd w:val="clear" w:color="auto" w:fill="E5DFEC"/>
            <w:vAlign w:val="center"/>
            <w:hideMark/>
          </w:tcPr>
          <w:p w:rsidR="00B75E4B" w:rsidRPr="00B656D5" w:rsidRDefault="00B75E4B"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Do you have one or more youth orientated programmes?</w:t>
            </w:r>
          </w:p>
        </w:tc>
        <w:tc>
          <w:tcPr>
            <w:tcW w:w="1099" w:type="pct"/>
            <w:tcBorders>
              <w:top w:val="nil"/>
              <w:left w:val="nil"/>
              <w:bottom w:val="single" w:sz="4" w:space="0" w:color="auto"/>
              <w:right w:val="single" w:sz="4" w:space="0" w:color="auto"/>
            </w:tcBorders>
            <w:shd w:val="clear" w:color="auto" w:fill="E5DFEC"/>
          </w:tcPr>
          <w:p w:rsidR="00B75E4B" w:rsidRPr="00B656D5" w:rsidRDefault="00B75E4B" w:rsidP="00B656D5">
            <w:pPr>
              <w:spacing w:after="0" w:line="240" w:lineRule="auto"/>
              <w:rPr>
                <w:rFonts w:ascii="Century Gothic" w:eastAsia="Times New Roman" w:hAnsi="Century Gothic" w:cs="Angsana New"/>
                <w:caps/>
                <w:sz w:val="20"/>
                <w:szCs w:val="20"/>
                <w:lang w:val="en-GB" w:eastAsia="en-GB"/>
              </w:rPr>
            </w:pPr>
            <w:r w:rsidRPr="00B656D5">
              <w:rPr>
                <w:rFonts w:ascii="Century Gothic" w:hAnsi="Century Gothic" w:cs="Myriad Pro Light"/>
                <w:b/>
                <w:bCs/>
                <w:caps/>
                <w:sz w:val="20"/>
                <w:szCs w:val="20"/>
                <w:lang w:val="en-GB"/>
              </w:rPr>
              <w:t>Disclosures on Management Approach (DMA)</w:t>
            </w:r>
          </w:p>
        </w:tc>
        <w:tc>
          <w:tcPr>
            <w:tcW w:w="2289" w:type="pct"/>
            <w:tcBorders>
              <w:top w:val="nil"/>
              <w:left w:val="nil"/>
              <w:bottom w:val="single" w:sz="4" w:space="0" w:color="auto"/>
              <w:right w:val="single" w:sz="4" w:space="0" w:color="auto"/>
            </w:tcBorders>
            <w:shd w:val="clear" w:color="auto" w:fill="E5DFEC"/>
          </w:tcPr>
          <w:p w:rsidR="00B75E4B" w:rsidRPr="00B656D5" w:rsidRDefault="00B75E4B" w:rsidP="00B656D5">
            <w:pPr>
              <w:pStyle w:val="ListParagraph"/>
              <w:numPr>
                <w:ilvl w:val="0"/>
                <w:numId w:val="19"/>
              </w:numPr>
              <w:spacing w:after="0" w:line="240" w:lineRule="auto"/>
              <w:rPr>
                <w:rFonts w:ascii="Century Gothic" w:eastAsia="Times New Roman" w:hAnsi="Century Gothic" w:cs="Angsana New"/>
                <w:color w:val="auto"/>
                <w:lang w:val="en-GB" w:eastAsia="en-GB"/>
              </w:rPr>
            </w:pPr>
            <w:r w:rsidRPr="00B656D5">
              <w:rPr>
                <w:rFonts w:ascii="Century Gothic" w:hAnsi="Century Gothic" w:cs="Myriad Pro"/>
                <w:color w:val="auto"/>
                <w:lang w:val="en-GB"/>
              </w:rPr>
              <w:t>The DMA is intended to give the organization an opportunity to explain how the economic, environmental and social impacts related to material Aspects are managed.</w:t>
            </w:r>
          </w:p>
        </w:tc>
      </w:tr>
      <w:tr w:rsidR="00666B02" w:rsidRPr="00C87A25" w:rsidTr="003345DF">
        <w:trPr>
          <w:trHeight w:val="924"/>
        </w:trPr>
        <w:tc>
          <w:tcPr>
            <w:tcW w:w="476" w:type="pct"/>
            <w:tcBorders>
              <w:top w:val="nil"/>
              <w:left w:val="single" w:sz="4" w:space="0" w:color="auto"/>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jc w:val="center"/>
              <w:rPr>
                <w:rFonts w:ascii="Century Gothic" w:eastAsia="Times New Roman" w:hAnsi="Century Gothic" w:cs="Angsana New"/>
                <w:sz w:val="20"/>
                <w:szCs w:val="20"/>
                <w:lang w:val="en-GB" w:eastAsia="en-GB"/>
              </w:rPr>
            </w:pPr>
            <w:r w:rsidRPr="00B656D5">
              <w:rPr>
                <w:rFonts w:ascii="Century Gothic" w:eastAsia="Times New Roman" w:hAnsi="Century Gothic" w:cs="Angsana New"/>
                <w:sz w:val="20"/>
                <w:szCs w:val="20"/>
                <w:lang w:val="en-GB" w:eastAsia="en-GB"/>
              </w:rPr>
              <w:t>Soc 20</w:t>
            </w:r>
          </w:p>
        </w:tc>
        <w:tc>
          <w:tcPr>
            <w:tcW w:w="1137" w:type="pct"/>
            <w:tcBorders>
              <w:top w:val="nil"/>
              <w:left w:val="nil"/>
              <w:bottom w:val="single" w:sz="4" w:space="0" w:color="auto"/>
              <w:right w:val="single" w:sz="4" w:space="0" w:color="auto"/>
            </w:tcBorders>
            <w:shd w:val="clear" w:color="auto" w:fill="E5DFEC"/>
            <w:vAlign w:val="center"/>
            <w:hideMark/>
          </w:tcPr>
          <w:p w:rsidR="00666B02" w:rsidRPr="00B656D5" w:rsidRDefault="00666B02" w:rsidP="00B656D5">
            <w:pPr>
              <w:spacing w:after="0" w:line="240" w:lineRule="auto"/>
              <w:rPr>
                <w:rFonts w:ascii="Century Gothic" w:hAnsi="Century Gothic" w:cs="Angsana New"/>
                <w:sz w:val="20"/>
                <w:szCs w:val="20"/>
                <w:lang w:val="en-GB"/>
              </w:rPr>
            </w:pPr>
            <w:r w:rsidRPr="00B656D5">
              <w:rPr>
                <w:rFonts w:ascii="Century Gothic" w:hAnsi="Century Gothic" w:cs="Angsana New"/>
                <w:sz w:val="20"/>
                <w:szCs w:val="20"/>
                <w:lang w:val="en-GB"/>
              </w:rPr>
              <w:t>Do you regularly take part in a car free day in your town/city or similar initiative</w:t>
            </w:r>
          </w:p>
        </w:tc>
        <w:tc>
          <w:tcPr>
            <w:tcW w:w="1099" w:type="pct"/>
            <w:tcBorders>
              <w:top w:val="nil"/>
              <w:left w:val="nil"/>
              <w:bottom w:val="single" w:sz="4" w:space="0" w:color="auto"/>
              <w:right w:val="single" w:sz="4" w:space="0" w:color="auto"/>
            </w:tcBorders>
            <w:shd w:val="clear" w:color="auto" w:fill="E5DFEC"/>
          </w:tcPr>
          <w:p w:rsidR="00666B02" w:rsidRPr="00B656D5" w:rsidRDefault="00666B02" w:rsidP="00B656D5">
            <w:pPr>
              <w:spacing w:after="0" w:line="240" w:lineRule="auto"/>
              <w:rPr>
                <w:rFonts w:ascii="Century Gothic" w:eastAsia="Times New Roman" w:hAnsi="Century Gothic" w:cs="Angsana New"/>
                <w:sz w:val="20"/>
                <w:szCs w:val="20"/>
                <w:lang w:val="en-GB" w:eastAsia="en-GB"/>
              </w:rPr>
            </w:pPr>
          </w:p>
        </w:tc>
        <w:tc>
          <w:tcPr>
            <w:tcW w:w="2289" w:type="pct"/>
            <w:tcBorders>
              <w:top w:val="nil"/>
              <w:left w:val="nil"/>
              <w:bottom w:val="single" w:sz="4" w:space="0" w:color="auto"/>
              <w:right w:val="single" w:sz="4" w:space="0" w:color="auto"/>
            </w:tcBorders>
            <w:shd w:val="clear" w:color="auto" w:fill="E5DFEC"/>
          </w:tcPr>
          <w:p w:rsidR="00666B02" w:rsidRPr="00B656D5" w:rsidRDefault="00666B02" w:rsidP="00B656D5">
            <w:pPr>
              <w:spacing w:after="0" w:line="240" w:lineRule="auto"/>
              <w:rPr>
                <w:rFonts w:ascii="Century Gothic" w:eastAsia="Times New Roman" w:hAnsi="Century Gothic" w:cs="Angsana New"/>
                <w:sz w:val="20"/>
                <w:szCs w:val="20"/>
                <w:lang w:val="en-GB" w:eastAsia="en-GB"/>
              </w:rPr>
            </w:pPr>
          </w:p>
        </w:tc>
      </w:tr>
    </w:tbl>
    <w:p w:rsidR="00666B02" w:rsidRPr="00B656D5" w:rsidRDefault="00666B02" w:rsidP="00666B02">
      <w:pPr>
        <w:autoSpaceDE w:val="0"/>
        <w:autoSpaceDN w:val="0"/>
        <w:adjustRightInd w:val="0"/>
        <w:spacing w:after="0"/>
        <w:rPr>
          <w:rFonts w:ascii="Century Gothic" w:hAnsi="Century Gothic" w:cs="Angsana New"/>
          <w:sz w:val="20"/>
          <w:szCs w:val="20"/>
          <w:lang w:val="en-GB"/>
        </w:rPr>
      </w:pPr>
    </w:p>
    <w:p w:rsidR="00666B02" w:rsidRPr="00B656D5" w:rsidRDefault="00666B02" w:rsidP="00666B02">
      <w:pPr>
        <w:spacing w:after="0"/>
        <w:rPr>
          <w:rFonts w:ascii="Century Gothic" w:hAnsi="Century Gothic" w:cs="Angsana New"/>
          <w:sz w:val="20"/>
          <w:szCs w:val="20"/>
          <w:lang w:val="en-GB"/>
        </w:rPr>
      </w:pPr>
    </w:p>
    <w:p w:rsidR="00ED57C0" w:rsidRPr="00B656D5" w:rsidRDefault="00ED57C0">
      <w:pPr>
        <w:rPr>
          <w:rFonts w:ascii="Century Gothic" w:hAnsi="Century Gothic"/>
          <w:sz w:val="20"/>
          <w:szCs w:val="20"/>
          <w:lang w:val="en-GB"/>
        </w:rPr>
      </w:pPr>
    </w:p>
    <w:sectPr w:rsidR="00ED57C0" w:rsidRPr="00B656D5" w:rsidSect="005519EF">
      <w:headerReference w:type="default" r:id="rId8"/>
      <w:footerReference w:type="default" r:id="rId9"/>
      <w:headerReference w:type="first" r:id="rId10"/>
      <w:footerReference w:type="first" r:id="rId11"/>
      <w:pgSz w:w="16838" w:h="11906" w:orient="landscape"/>
      <w:pgMar w:top="1417" w:right="195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C7" w:rsidRDefault="007032C7" w:rsidP="00D94253">
      <w:pPr>
        <w:spacing w:after="0" w:line="240" w:lineRule="auto"/>
      </w:pPr>
      <w:r>
        <w:separator/>
      </w:r>
    </w:p>
  </w:endnote>
  <w:endnote w:type="continuationSeparator" w:id="0">
    <w:p w:rsidR="007032C7" w:rsidRDefault="007032C7" w:rsidP="00D9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5" w:rsidRDefault="00545C8C">
    <w:pPr>
      <w:pStyle w:val="Footer"/>
      <w:jc w:val="right"/>
    </w:pPr>
    <w:r>
      <w:fldChar w:fldCharType="begin"/>
    </w:r>
    <w:r>
      <w:instrText xml:space="preserve"> PAGE   \* MERGEFORMAT </w:instrText>
    </w:r>
    <w:r>
      <w:fldChar w:fldCharType="separate"/>
    </w:r>
    <w:r w:rsidR="00733930">
      <w:rPr>
        <w:noProof/>
      </w:rPr>
      <w:t>18</w:t>
    </w:r>
    <w:r>
      <w:rPr>
        <w:noProof/>
      </w:rPr>
      <w:fldChar w:fldCharType="end"/>
    </w:r>
  </w:p>
  <w:p w:rsidR="00B656D5" w:rsidRDefault="00B6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5" w:rsidRDefault="00545C8C">
    <w:pPr>
      <w:pStyle w:val="Footer"/>
      <w:jc w:val="right"/>
    </w:pPr>
    <w:r>
      <w:fldChar w:fldCharType="begin"/>
    </w:r>
    <w:r>
      <w:instrText xml:space="preserve"> PAGE   \* MERGEFORMAT </w:instrText>
    </w:r>
    <w:r>
      <w:fldChar w:fldCharType="separate"/>
    </w:r>
    <w:r w:rsidR="00733930">
      <w:rPr>
        <w:noProof/>
      </w:rPr>
      <w:t>1</w:t>
    </w:r>
    <w:r>
      <w:rPr>
        <w:noProof/>
      </w:rPr>
      <w:fldChar w:fldCharType="end"/>
    </w:r>
  </w:p>
  <w:p w:rsidR="00B656D5" w:rsidRDefault="00B6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C7" w:rsidRDefault="007032C7" w:rsidP="00D94253">
      <w:pPr>
        <w:spacing w:after="0" w:line="240" w:lineRule="auto"/>
      </w:pPr>
      <w:r>
        <w:separator/>
      </w:r>
    </w:p>
  </w:footnote>
  <w:footnote w:type="continuationSeparator" w:id="0">
    <w:p w:rsidR="007032C7" w:rsidRDefault="007032C7" w:rsidP="00D9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5" w:rsidRDefault="00316770">
    <w:pPr>
      <w:pStyle w:val="Header"/>
    </w:pPr>
    <w:r>
      <w:rPr>
        <w:noProof/>
        <w:lang w:val="en-GB" w:eastAsia="en-GB"/>
      </w:rPr>
      <w:drawing>
        <wp:anchor distT="0" distB="0" distL="114300" distR="114300" simplePos="0" relativeHeight="251661312" behindDoc="0" locked="0" layoutInCell="1" allowOverlap="1">
          <wp:simplePos x="0" y="0"/>
          <wp:positionH relativeFrom="column">
            <wp:posOffset>-3810</wp:posOffset>
          </wp:positionH>
          <wp:positionV relativeFrom="page">
            <wp:align>top</wp:align>
          </wp:positionV>
          <wp:extent cx="7562850" cy="1914525"/>
          <wp:effectExtent l="0" t="0" r="0" b="9525"/>
          <wp:wrapSquare wrapText="bothSides"/>
          <wp:docPr id="2" name="Picture 2" descr="Bandeau pages suivant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 pages suivante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9145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5" w:rsidRDefault="00316770">
    <w:pPr>
      <w:pStyle w:val="Header"/>
    </w:pPr>
    <w:r>
      <w:rPr>
        <w:noProof/>
        <w:lang w:val="en-GB" w:eastAsia="en-GB"/>
      </w:rPr>
      <w:drawing>
        <wp:anchor distT="0" distB="0" distL="114300" distR="114300" simplePos="0" relativeHeight="251660288" behindDoc="0" locked="0" layoutInCell="1" allowOverlap="1">
          <wp:simplePos x="0" y="0"/>
          <wp:positionH relativeFrom="column">
            <wp:align>left</wp:align>
          </wp:positionH>
          <wp:positionV relativeFrom="page">
            <wp:align>top</wp:align>
          </wp:positionV>
          <wp:extent cx="9072880" cy="1914525"/>
          <wp:effectExtent l="0" t="0" r="0" b="9525"/>
          <wp:wrapSquare wrapText="bothSides"/>
          <wp:docPr id="1" name="Picture 1" descr="Bandeau 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880" cy="1914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FC3492"/>
    <w:multiLevelType w:val="hybridMultilevel"/>
    <w:tmpl w:val="26160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D91A22"/>
    <w:multiLevelType w:val="hybridMultilevel"/>
    <w:tmpl w:val="3F082B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1BD6D0"/>
    <w:multiLevelType w:val="hybridMultilevel"/>
    <w:tmpl w:val="8AB34B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90D283"/>
    <w:multiLevelType w:val="hybridMultilevel"/>
    <w:tmpl w:val="1FD8C2A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C1F871"/>
    <w:multiLevelType w:val="hybridMultilevel"/>
    <w:tmpl w:val="AD926E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8520019"/>
    <w:multiLevelType w:val="hybridMultilevel"/>
    <w:tmpl w:val="30FEAE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723CA8"/>
    <w:multiLevelType w:val="hybridMultilevel"/>
    <w:tmpl w:val="0D107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645F2C"/>
    <w:multiLevelType w:val="hybridMultilevel"/>
    <w:tmpl w:val="D9C86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EA5F06"/>
    <w:multiLevelType w:val="hybridMultilevel"/>
    <w:tmpl w:val="347E21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481AE9"/>
    <w:multiLevelType w:val="hybridMultilevel"/>
    <w:tmpl w:val="4946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652D452"/>
    <w:multiLevelType w:val="hybridMultilevel"/>
    <w:tmpl w:val="CAE8A7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6561CD"/>
    <w:multiLevelType w:val="hybridMultilevel"/>
    <w:tmpl w:val="41026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FDEB4A"/>
    <w:multiLevelType w:val="hybridMultilevel"/>
    <w:tmpl w:val="46AFD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08541F"/>
    <w:multiLevelType w:val="hybridMultilevel"/>
    <w:tmpl w:val="9D4E49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D07928"/>
    <w:multiLevelType w:val="hybridMultilevel"/>
    <w:tmpl w:val="A6A6D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3B6584"/>
    <w:multiLevelType w:val="hybridMultilevel"/>
    <w:tmpl w:val="8A123AB0"/>
    <w:lvl w:ilvl="0" w:tplc="F8708292">
      <w:start w:val="1"/>
      <w:numFmt w:val="upperLetter"/>
      <w:lvlText w:val="%1."/>
      <w:lvlJc w:val="left"/>
      <w:pPr>
        <w:ind w:left="720" w:hanging="360"/>
      </w:pPr>
      <w:rPr>
        <w:rFonts w:ascii="Calibri" w:eastAsia="Calibri" w:hAnsi="Calibri"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57295C"/>
    <w:multiLevelType w:val="hybridMultilevel"/>
    <w:tmpl w:val="C21E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A1DF0"/>
    <w:multiLevelType w:val="hybridMultilevel"/>
    <w:tmpl w:val="7A766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030D7E"/>
    <w:multiLevelType w:val="hybridMultilevel"/>
    <w:tmpl w:val="7E62D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750E49"/>
    <w:multiLevelType w:val="hybridMultilevel"/>
    <w:tmpl w:val="68D04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DD5888"/>
    <w:multiLevelType w:val="hybridMultilevel"/>
    <w:tmpl w:val="08AC0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907512"/>
    <w:multiLevelType w:val="hybridMultilevel"/>
    <w:tmpl w:val="0AA2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F7719D"/>
    <w:multiLevelType w:val="hybridMultilevel"/>
    <w:tmpl w:val="CC78B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D5614"/>
    <w:multiLevelType w:val="hybridMultilevel"/>
    <w:tmpl w:val="422E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F06F89"/>
    <w:multiLevelType w:val="hybridMultilevel"/>
    <w:tmpl w:val="1C624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5E1473"/>
    <w:multiLevelType w:val="hybridMultilevel"/>
    <w:tmpl w:val="3A90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F4129"/>
    <w:multiLevelType w:val="hybridMultilevel"/>
    <w:tmpl w:val="F036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3D5838"/>
    <w:multiLevelType w:val="hybridMultilevel"/>
    <w:tmpl w:val="322C3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21129F"/>
    <w:multiLevelType w:val="hybridMultilevel"/>
    <w:tmpl w:val="8A6CB938"/>
    <w:lvl w:ilvl="0" w:tplc="FBA6C380">
      <w:start w:val="1"/>
      <w:numFmt w:val="upperLetter"/>
      <w:lvlText w:val="%1."/>
      <w:lvlJc w:val="left"/>
      <w:pPr>
        <w:ind w:left="720" w:hanging="360"/>
      </w:pPr>
      <w:rPr>
        <w:rFonts w:ascii="Myriad Pro" w:eastAsiaTheme="minorHAnsi" w:hAnsi="Myriad Pro" w:cs="Myriad Pro"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95A69"/>
    <w:multiLevelType w:val="hybridMultilevel"/>
    <w:tmpl w:val="F5684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232646"/>
    <w:multiLevelType w:val="hybridMultilevel"/>
    <w:tmpl w:val="5DEFC3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0D932E6"/>
    <w:multiLevelType w:val="hybridMultilevel"/>
    <w:tmpl w:val="3148E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60646E"/>
    <w:multiLevelType w:val="hybridMultilevel"/>
    <w:tmpl w:val="14D40E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367E25"/>
    <w:multiLevelType w:val="hybridMultilevel"/>
    <w:tmpl w:val="1884CF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D91F10"/>
    <w:multiLevelType w:val="hybridMultilevel"/>
    <w:tmpl w:val="0DD02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3F923C"/>
    <w:multiLevelType w:val="hybridMultilevel"/>
    <w:tmpl w:val="597697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9C49EC"/>
    <w:multiLevelType w:val="hybridMultilevel"/>
    <w:tmpl w:val="1F126F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6C8136"/>
    <w:multiLevelType w:val="hybridMultilevel"/>
    <w:tmpl w:val="8548D9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9E0FBF"/>
    <w:multiLevelType w:val="hybridMultilevel"/>
    <w:tmpl w:val="B106D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210FE6"/>
    <w:multiLevelType w:val="hybridMultilevel"/>
    <w:tmpl w:val="AF1252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9C83E2"/>
    <w:multiLevelType w:val="hybridMultilevel"/>
    <w:tmpl w:val="91DC4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9"/>
  </w:num>
  <w:num w:numId="2">
    <w:abstractNumId w:val="38"/>
  </w:num>
  <w:num w:numId="3">
    <w:abstractNumId w:val="7"/>
  </w:num>
  <w:num w:numId="4">
    <w:abstractNumId w:val="17"/>
  </w:num>
  <w:num w:numId="5">
    <w:abstractNumId w:val="14"/>
  </w:num>
  <w:num w:numId="6">
    <w:abstractNumId w:val="24"/>
  </w:num>
  <w:num w:numId="7">
    <w:abstractNumId w:val="21"/>
  </w:num>
  <w:num w:numId="8">
    <w:abstractNumId w:val="20"/>
  </w:num>
  <w:num w:numId="9">
    <w:abstractNumId w:val="22"/>
  </w:num>
  <w:num w:numId="10">
    <w:abstractNumId w:val="27"/>
  </w:num>
  <w:num w:numId="11">
    <w:abstractNumId w:val="19"/>
  </w:num>
  <w:num w:numId="12">
    <w:abstractNumId w:val="31"/>
  </w:num>
  <w:num w:numId="13">
    <w:abstractNumId w:val="34"/>
  </w:num>
  <w:num w:numId="14">
    <w:abstractNumId w:val="18"/>
  </w:num>
  <w:num w:numId="15">
    <w:abstractNumId w:val="23"/>
  </w:num>
  <w:num w:numId="16">
    <w:abstractNumId w:val="25"/>
  </w:num>
  <w:num w:numId="17">
    <w:abstractNumId w:val="11"/>
  </w:num>
  <w:num w:numId="18">
    <w:abstractNumId w:val="9"/>
  </w:num>
  <w:num w:numId="19">
    <w:abstractNumId w:val="26"/>
  </w:num>
  <w:num w:numId="20">
    <w:abstractNumId w:val="15"/>
  </w:num>
  <w:num w:numId="21">
    <w:abstractNumId w:val="3"/>
  </w:num>
  <w:num w:numId="22">
    <w:abstractNumId w:val="12"/>
  </w:num>
  <w:num w:numId="23">
    <w:abstractNumId w:val="28"/>
  </w:num>
  <w:num w:numId="24">
    <w:abstractNumId w:val="16"/>
  </w:num>
  <w:num w:numId="25">
    <w:abstractNumId w:val="4"/>
  </w:num>
  <w:num w:numId="26">
    <w:abstractNumId w:val="35"/>
  </w:num>
  <w:num w:numId="27">
    <w:abstractNumId w:val="40"/>
  </w:num>
  <w:num w:numId="28">
    <w:abstractNumId w:val="33"/>
  </w:num>
  <w:num w:numId="29">
    <w:abstractNumId w:val="8"/>
  </w:num>
  <w:num w:numId="30">
    <w:abstractNumId w:val="0"/>
  </w:num>
  <w:num w:numId="31">
    <w:abstractNumId w:val="10"/>
  </w:num>
  <w:num w:numId="32">
    <w:abstractNumId w:val="1"/>
  </w:num>
  <w:num w:numId="33">
    <w:abstractNumId w:val="6"/>
  </w:num>
  <w:num w:numId="34">
    <w:abstractNumId w:val="37"/>
  </w:num>
  <w:num w:numId="35">
    <w:abstractNumId w:val="2"/>
  </w:num>
  <w:num w:numId="36">
    <w:abstractNumId w:val="30"/>
  </w:num>
  <w:num w:numId="37">
    <w:abstractNumId w:val="39"/>
  </w:num>
  <w:num w:numId="38">
    <w:abstractNumId w:val="13"/>
  </w:num>
  <w:num w:numId="39">
    <w:abstractNumId w:val="5"/>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698FC63-7DE9-4F8C-9AD8-B5FBEA244AAA}"/>
    <w:docVar w:name="dgnword-eventsink" w:val="736934656"/>
  </w:docVars>
  <w:rsids>
    <w:rsidRoot w:val="00666B02"/>
    <w:rsid w:val="0003277E"/>
    <w:rsid w:val="000C167D"/>
    <w:rsid w:val="001068A2"/>
    <w:rsid w:val="001211E2"/>
    <w:rsid w:val="00156E7D"/>
    <w:rsid w:val="001A76A5"/>
    <w:rsid w:val="001C5215"/>
    <w:rsid w:val="001F3C7E"/>
    <w:rsid w:val="002646CE"/>
    <w:rsid w:val="00316770"/>
    <w:rsid w:val="003345DF"/>
    <w:rsid w:val="003D1B8F"/>
    <w:rsid w:val="004038E0"/>
    <w:rsid w:val="00466CB7"/>
    <w:rsid w:val="0049799D"/>
    <w:rsid w:val="00545C8C"/>
    <w:rsid w:val="005519EF"/>
    <w:rsid w:val="005A2ECC"/>
    <w:rsid w:val="00622680"/>
    <w:rsid w:val="0062554C"/>
    <w:rsid w:val="00666B02"/>
    <w:rsid w:val="0069301B"/>
    <w:rsid w:val="007032C7"/>
    <w:rsid w:val="00733930"/>
    <w:rsid w:val="0078449A"/>
    <w:rsid w:val="007C7230"/>
    <w:rsid w:val="007D0227"/>
    <w:rsid w:val="00802F76"/>
    <w:rsid w:val="008231D3"/>
    <w:rsid w:val="00906149"/>
    <w:rsid w:val="00926B82"/>
    <w:rsid w:val="00981051"/>
    <w:rsid w:val="00984055"/>
    <w:rsid w:val="009A4152"/>
    <w:rsid w:val="00A26D8A"/>
    <w:rsid w:val="00A8062D"/>
    <w:rsid w:val="00A82C8D"/>
    <w:rsid w:val="00AC2183"/>
    <w:rsid w:val="00AD329B"/>
    <w:rsid w:val="00AF11E6"/>
    <w:rsid w:val="00B656D5"/>
    <w:rsid w:val="00B75E4B"/>
    <w:rsid w:val="00B97072"/>
    <w:rsid w:val="00BA2670"/>
    <w:rsid w:val="00BB6925"/>
    <w:rsid w:val="00C311E0"/>
    <w:rsid w:val="00C57690"/>
    <w:rsid w:val="00C604A8"/>
    <w:rsid w:val="00C63ED5"/>
    <w:rsid w:val="00C87A25"/>
    <w:rsid w:val="00D20ED8"/>
    <w:rsid w:val="00D94253"/>
    <w:rsid w:val="00E40756"/>
    <w:rsid w:val="00E57A3F"/>
    <w:rsid w:val="00ED57C0"/>
    <w:rsid w:val="00EF3A2B"/>
    <w:rsid w:val="00F52C00"/>
    <w:rsid w:val="00F61B86"/>
    <w:rsid w:val="00F9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18134-5667-4786-B401-DC7EC269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B02"/>
    <w:rPr>
      <w:rFonts w:ascii="Calibri" w:eastAsia="Calibri" w:hAnsi="Calibri" w:cs="Times New Roman"/>
      <w:lang w:val="fr-BE"/>
    </w:rPr>
  </w:style>
  <w:style w:type="paragraph" w:styleId="Heading1">
    <w:name w:val="heading 1"/>
    <w:basedOn w:val="Normal"/>
    <w:next w:val="Normal"/>
    <w:link w:val="Heading1Char"/>
    <w:uiPriority w:val="9"/>
    <w:unhideWhenUsed/>
    <w:qFormat/>
    <w:rsid w:val="00666B02"/>
    <w:pPr>
      <w:spacing w:before="360" w:after="40"/>
      <w:outlineLvl w:val="0"/>
    </w:pPr>
    <w:rPr>
      <w:rFonts w:ascii="Cambria" w:hAnsi="Cambria" w:cs="Calibri"/>
      <w:smallCaps/>
      <w:color w:val="17365D"/>
      <w:spacing w:val="5"/>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B02"/>
    <w:rPr>
      <w:rFonts w:ascii="Cambria" w:eastAsia="Calibri" w:hAnsi="Cambria" w:cs="Calibri"/>
      <w:smallCaps/>
      <w:color w:val="17365D"/>
      <w:spacing w:val="5"/>
      <w:sz w:val="32"/>
      <w:szCs w:val="32"/>
      <w:lang w:val="en-US" w:eastAsia="ja-JP"/>
    </w:rPr>
  </w:style>
  <w:style w:type="paragraph" w:styleId="Header">
    <w:name w:val="header"/>
    <w:basedOn w:val="Normal"/>
    <w:link w:val="HeaderChar"/>
    <w:uiPriority w:val="99"/>
    <w:unhideWhenUsed/>
    <w:rsid w:val="00666B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6B02"/>
    <w:rPr>
      <w:rFonts w:ascii="Calibri" w:eastAsia="Calibri" w:hAnsi="Calibri" w:cs="Times New Roman"/>
      <w:lang w:val="fr-BE"/>
    </w:rPr>
  </w:style>
  <w:style w:type="paragraph" w:styleId="Footer">
    <w:name w:val="footer"/>
    <w:basedOn w:val="Normal"/>
    <w:link w:val="FooterChar"/>
    <w:uiPriority w:val="99"/>
    <w:unhideWhenUsed/>
    <w:rsid w:val="00666B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6B02"/>
    <w:rPr>
      <w:rFonts w:ascii="Calibri" w:eastAsia="Calibri" w:hAnsi="Calibri" w:cs="Times New Roman"/>
      <w:lang w:val="fr-BE"/>
    </w:rPr>
  </w:style>
  <w:style w:type="paragraph" w:styleId="ListParagraph">
    <w:name w:val="List Paragraph"/>
    <w:basedOn w:val="Normal"/>
    <w:uiPriority w:val="99"/>
    <w:unhideWhenUsed/>
    <w:qFormat/>
    <w:rsid w:val="00666B02"/>
    <w:pPr>
      <w:ind w:left="720"/>
      <w:contextualSpacing/>
    </w:pPr>
    <w:rPr>
      <w:rFonts w:cs="Calibri"/>
      <w:color w:val="17365D"/>
      <w:sz w:val="20"/>
      <w:szCs w:val="20"/>
      <w:lang w:val="en-US" w:eastAsia="ja-JP"/>
    </w:rPr>
  </w:style>
  <w:style w:type="paragraph" w:customStyle="1" w:styleId="Default">
    <w:name w:val="Default"/>
    <w:rsid w:val="00906149"/>
    <w:pPr>
      <w:autoSpaceDE w:val="0"/>
      <w:autoSpaceDN w:val="0"/>
      <w:adjustRightInd w:val="0"/>
      <w:spacing w:after="0" w:line="240" w:lineRule="auto"/>
    </w:pPr>
    <w:rPr>
      <w:rFonts w:ascii="Myriad Pro" w:hAnsi="Myriad Pro" w:cs="Myriad Pro"/>
      <w:color w:val="000000"/>
      <w:sz w:val="24"/>
      <w:szCs w:val="24"/>
    </w:rPr>
  </w:style>
  <w:style w:type="character" w:customStyle="1" w:styleId="A19">
    <w:name w:val="A19"/>
    <w:uiPriority w:val="99"/>
    <w:rsid w:val="00802F76"/>
    <w:rPr>
      <w:rFonts w:cs="Myriad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46DD0-5FB5-4EB7-8E75-408216F9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4231</Words>
  <Characters>24292</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Philip</dc:creator>
  <cp:lastModifiedBy>Glenn Frommer</cp:lastModifiedBy>
  <cp:revision>2</cp:revision>
  <cp:lastPrinted>2015-02-06T08:58:00Z</cp:lastPrinted>
  <dcterms:created xsi:type="dcterms:W3CDTF">2017-06-02T10:00:00Z</dcterms:created>
  <dcterms:modified xsi:type="dcterms:W3CDTF">2017-06-02T10:00:00Z</dcterms:modified>
</cp:coreProperties>
</file>